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696B" w:rsidRPr="00456761" w:rsidRDefault="00B1696B" w:rsidP="00B1696B">
      <w:pPr>
        <w:spacing w:line="360" w:lineRule="auto"/>
        <w:jc w:val="right"/>
        <w:rPr>
          <w:rFonts w:ascii="Century Schoolbook" w:hAnsi="Century Schoolbook"/>
          <w:b/>
          <w:bCs/>
          <w:sz w:val="52"/>
          <w:szCs w:val="52"/>
          <w:lang w:val="es-ES_tradnl"/>
        </w:rPr>
      </w:pPr>
    </w:p>
    <w:p w:rsidR="00B1696B" w:rsidRPr="00456761" w:rsidRDefault="00B1696B" w:rsidP="00B1696B">
      <w:pPr>
        <w:spacing w:line="360" w:lineRule="auto"/>
        <w:jc w:val="right"/>
        <w:rPr>
          <w:rFonts w:ascii="Century Schoolbook" w:hAnsi="Century Schoolbook"/>
          <w:b/>
          <w:bCs/>
          <w:sz w:val="52"/>
          <w:szCs w:val="52"/>
          <w:lang w:val="es-ES_tradnl"/>
        </w:rPr>
      </w:pPr>
    </w:p>
    <w:p w:rsidR="00B1696B" w:rsidRPr="00456761" w:rsidRDefault="00B1696B" w:rsidP="00B1696B">
      <w:pPr>
        <w:spacing w:line="360" w:lineRule="auto"/>
        <w:jc w:val="right"/>
        <w:rPr>
          <w:rFonts w:ascii="Century Schoolbook" w:hAnsi="Century Schoolbook"/>
          <w:b/>
          <w:bCs/>
          <w:sz w:val="52"/>
          <w:szCs w:val="52"/>
          <w:lang w:val="es-ES_tradnl"/>
        </w:rPr>
      </w:pPr>
    </w:p>
    <w:p w:rsidR="00B1696B" w:rsidRPr="00456761" w:rsidRDefault="00B1696B" w:rsidP="00B1696B">
      <w:pPr>
        <w:spacing w:line="360" w:lineRule="auto"/>
        <w:jc w:val="right"/>
        <w:rPr>
          <w:rFonts w:ascii="Century Schoolbook" w:hAnsi="Century Schoolbook"/>
          <w:b/>
          <w:bCs/>
          <w:sz w:val="52"/>
          <w:szCs w:val="52"/>
          <w:lang w:val="es-ES_tradnl"/>
        </w:rPr>
      </w:pPr>
    </w:p>
    <w:p w:rsidR="00B1696B" w:rsidRPr="00456761" w:rsidRDefault="00B1696B" w:rsidP="00B1696B">
      <w:pPr>
        <w:spacing w:line="360" w:lineRule="auto"/>
        <w:jc w:val="right"/>
        <w:rPr>
          <w:rFonts w:ascii="Century Schoolbook" w:hAnsi="Century Schoolbook"/>
          <w:b/>
          <w:bCs/>
          <w:sz w:val="52"/>
          <w:szCs w:val="52"/>
          <w:lang w:val="es-ES_tradnl"/>
        </w:rPr>
      </w:pPr>
    </w:p>
    <w:p w:rsidR="00B1696B" w:rsidRPr="00456761" w:rsidRDefault="00B1696B" w:rsidP="00B1696B">
      <w:pPr>
        <w:spacing w:line="360" w:lineRule="auto"/>
        <w:jc w:val="right"/>
        <w:rPr>
          <w:rFonts w:ascii="Century Schoolbook" w:hAnsi="Century Schoolbook"/>
          <w:b/>
          <w:bCs/>
          <w:sz w:val="52"/>
          <w:szCs w:val="52"/>
          <w:lang w:val="es-ES_tradnl"/>
        </w:rPr>
      </w:pPr>
      <w:r w:rsidRPr="00456761">
        <w:rPr>
          <w:rFonts w:ascii="Century Schoolbook" w:hAnsi="Century Schoolbook"/>
          <w:b/>
          <w:bCs/>
          <w:sz w:val="52"/>
          <w:szCs w:val="52"/>
          <w:lang w:val="es-ES_tradnl"/>
        </w:rPr>
        <w:t>Informe sobre el</w:t>
      </w:r>
    </w:p>
    <w:p w:rsidR="00B1696B" w:rsidRPr="00456761" w:rsidRDefault="00B1696B" w:rsidP="00B1696B">
      <w:pPr>
        <w:spacing w:line="360" w:lineRule="auto"/>
        <w:jc w:val="right"/>
        <w:rPr>
          <w:rFonts w:ascii="Century Schoolbook" w:hAnsi="Century Schoolbook"/>
          <w:b/>
          <w:bCs/>
          <w:sz w:val="52"/>
          <w:szCs w:val="52"/>
          <w:lang w:val="es-ES_tradnl"/>
        </w:rPr>
      </w:pPr>
      <w:proofErr w:type="gramStart"/>
      <w:r w:rsidRPr="00456761">
        <w:rPr>
          <w:rFonts w:ascii="Century Schoolbook" w:hAnsi="Century Schoolbook"/>
          <w:b/>
          <w:bCs/>
          <w:sz w:val="52"/>
          <w:szCs w:val="52"/>
          <w:lang w:val="es-ES_tradnl"/>
        </w:rPr>
        <w:t>sector</w:t>
      </w:r>
      <w:proofErr w:type="gramEnd"/>
      <w:r w:rsidRPr="00456761">
        <w:rPr>
          <w:rFonts w:ascii="Century Schoolbook" w:hAnsi="Century Schoolbook"/>
          <w:b/>
          <w:bCs/>
          <w:sz w:val="52"/>
          <w:szCs w:val="52"/>
          <w:lang w:val="es-ES_tradnl"/>
        </w:rPr>
        <w:t xml:space="preserve"> editorial español</w:t>
      </w:r>
    </w:p>
    <w:p w:rsidR="00B1696B" w:rsidRPr="00456761" w:rsidRDefault="00B1696B" w:rsidP="00B1696B">
      <w:pPr>
        <w:spacing w:line="360" w:lineRule="auto"/>
        <w:jc w:val="right"/>
        <w:rPr>
          <w:rFonts w:ascii="Century Schoolbook" w:hAnsi="Century Schoolbook"/>
          <w:b/>
          <w:bCs/>
          <w:sz w:val="52"/>
          <w:szCs w:val="52"/>
          <w:lang w:val="es-ES_tradnl"/>
        </w:rPr>
      </w:pPr>
      <w:r w:rsidRPr="00456761">
        <w:rPr>
          <w:rFonts w:ascii="Century Schoolbook" w:hAnsi="Century Schoolbook"/>
          <w:b/>
          <w:bCs/>
          <w:sz w:val="52"/>
          <w:szCs w:val="52"/>
          <w:lang w:val="es-ES_tradnl"/>
        </w:rPr>
        <w:t>Año 2015</w:t>
      </w:r>
    </w:p>
    <w:p w:rsidR="00B1696B" w:rsidRPr="00456761" w:rsidRDefault="00B1696B" w:rsidP="00B1696B">
      <w:pPr>
        <w:spacing w:line="360" w:lineRule="auto"/>
        <w:jc w:val="right"/>
        <w:rPr>
          <w:rFonts w:ascii="Century Schoolbook" w:hAnsi="Century Schoolbook"/>
          <w:bCs/>
          <w:sz w:val="52"/>
          <w:szCs w:val="52"/>
          <w:lang w:val="es-ES_tradnl"/>
        </w:rPr>
      </w:pPr>
    </w:p>
    <w:p w:rsidR="00B1696B" w:rsidRPr="00456761" w:rsidRDefault="00B1696B" w:rsidP="00B1696B">
      <w:pPr>
        <w:spacing w:line="360" w:lineRule="auto"/>
        <w:jc w:val="right"/>
        <w:rPr>
          <w:rFonts w:ascii="Century Schoolbook" w:hAnsi="Century Schoolbook"/>
          <w:bCs/>
          <w:sz w:val="52"/>
          <w:szCs w:val="52"/>
          <w:lang w:val="es-ES_tradnl"/>
        </w:rPr>
      </w:pPr>
    </w:p>
    <w:p w:rsidR="00B1696B" w:rsidRPr="00456761" w:rsidRDefault="00B1696B" w:rsidP="00B1696B">
      <w:pPr>
        <w:spacing w:line="360" w:lineRule="auto"/>
        <w:jc w:val="right"/>
        <w:rPr>
          <w:rFonts w:ascii="Century Schoolbook" w:hAnsi="Century Schoolbook"/>
          <w:bCs/>
          <w:sz w:val="52"/>
          <w:szCs w:val="52"/>
          <w:lang w:val="es-ES_tradnl"/>
        </w:rPr>
      </w:pPr>
    </w:p>
    <w:p w:rsidR="00B1696B" w:rsidRPr="00456761" w:rsidRDefault="00B1696B" w:rsidP="00B1696B">
      <w:pPr>
        <w:spacing w:line="360" w:lineRule="auto"/>
        <w:jc w:val="right"/>
        <w:rPr>
          <w:rFonts w:ascii="Century Schoolbook" w:hAnsi="Century Schoolbook"/>
          <w:bCs/>
          <w:sz w:val="52"/>
          <w:szCs w:val="52"/>
          <w:lang w:val="es-ES_tradnl"/>
        </w:rPr>
      </w:pPr>
    </w:p>
    <w:p w:rsidR="00B1696B" w:rsidRPr="00456761" w:rsidRDefault="00B1696B" w:rsidP="00B1696B">
      <w:pPr>
        <w:jc w:val="right"/>
        <w:rPr>
          <w:rFonts w:ascii="Century Schoolbook" w:hAnsi="Century Schoolbook"/>
          <w:bCs/>
          <w:sz w:val="36"/>
          <w:szCs w:val="36"/>
          <w:lang w:val="es-ES_tradnl"/>
        </w:rPr>
      </w:pPr>
      <w:r w:rsidRPr="00456761">
        <w:rPr>
          <w:rFonts w:ascii="Century Schoolbook" w:hAnsi="Century Schoolbook"/>
          <w:bCs/>
          <w:sz w:val="36"/>
          <w:szCs w:val="36"/>
          <w:lang w:val="es-ES_tradnl"/>
        </w:rPr>
        <w:t xml:space="preserve">Federación de Gremios de </w:t>
      </w:r>
    </w:p>
    <w:p w:rsidR="00B1696B" w:rsidRPr="00456761" w:rsidRDefault="00B1696B" w:rsidP="00B1696B">
      <w:pPr>
        <w:jc w:val="right"/>
        <w:rPr>
          <w:rFonts w:ascii="Century Schoolbook" w:hAnsi="Century Schoolbook"/>
          <w:bCs/>
          <w:sz w:val="36"/>
          <w:szCs w:val="36"/>
          <w:lang w:val="es-ES_tradnl"/>
        </w:rPr>
      </w:pPr>
      <w:r w:rsidRPr="00456761">
        <w:rPr>
          <w:rFonts w:ascii="Century Schoolbook" w:hAnsi="Century Schoolbook"/>
          <w:bCs/>
          <w:sz w:val="36"/>
          <w:szCs w:val="36"/>
          <w:lang w:val="es-ES_tradnl"/>
        </w:rPr>
        <w:t>Editores de España</w:t>
      </w:r>
    </w:p>
    <w:p w:rsidR="00B1696B" w:rsidRPr="00456761" w:rsidRDefault="00B1696B" w:rsidP="00B1696B">
      <w:pPr>
        <w:spacing w:line="360" w:lineRule="auto"/>
        <w:jc w:val="right"/>
        <w:rPr>
          <w:rFonts w:ascii="Century Schoolbook" w:hAnsi="Century Schoolbook"/>
          <w:bCs/>
          <w:sz w:val="36"/>
          <w:szCs w:val="36"/>
          <w:lang w:val="es-ES_tradnl"/>
        </w:rPr>
      </w:pPr>
    </w:p>
    <w:p w:rsidR="00B1696B" w:rsidRPr="00456761" w:rsidRDefault="00B1696B" w:rsidP="00B1696B">
      <w:pPr>
        <w:spacing w:line="360" w:lineRule="auto"/>
        <w:jc w:val="right"/>
        <w:rPr>
          <w:rFonts w:ascii="Century Schoolbook" w:hAnsi="Century Schoolbook"/>
          <w:bCs/>
          <w:sz w:val="36"/>
          <w:szCs w:val="36"/>
          <w:lang w:val="es-ES_tradnl"/>
        </w:rPr>
      </w:pPr>
      <w:r w:rsidRPr="00456761">
        <w:rPr>
          <w:rFonts w:ascii="Century Schoolbook" w:hAnsi="Century Schoolbook"/>
          <w:bCs/>
          <w:sz w:val="36"/>
          <w:szCs w:val="36"/>
          <w:lang w:val="es-ES_tradnl"/>
        </w:rPr>
        <w:t>Enero 2017</w:t>
      </w:r>
    </w:p>
    <w:p w:rsidR="00B1696B" w:rsidRPr="00456761" w:rsidRDefault="00B1696B" w:rsidP="00B1696B">
      <w:pPr>
        <w:spacing w:line="360" w:lineRule="auto"/>
        <w:jc w:val="right"/>
        <w:rPr>
          <w:rFonts w:ascii="Century Schoolbook" w:hAnsi="Century Schoolbook"/>
          <w:bCs/>
          <w:sz w:val="36"/>
          <w:szCs w:val="36"/>
          <w:lang w:val="es-ES_tradnl"/>
        </w:rPr>
      </w:pPr>
    </w:p>
    <w:p w:rsidR="00B1696B" w:rsidRPr="00456761" w:rsidRDefault="00B1696B" w:rsidP="00B1696B">
      <w:pPr>
        <w:spacing w:line="360" w:lineRule="auto"/>
        <w:jc w:val="right"/>
        <w:rPr>
          <w:rFonts w:ascii="Century Schoolbook" w:hAnsi="Century Schoolbook"/>
          <w:b/>
          <w:bCs/>
          <w:u w:val="single"/>
          <w:lang w:val="es-ES_tradnl"/>
        </w:rPr>
      </w:pPr>
      <w:r w:rsidRPr="00456761">
        <w:rPr>
          <w:rFonts w:ascii="Century Schoolbook" w:hAnsi="Century Schoolbook"/>
          <w:b/>
          <w:bCs/>
          <w:sz w:val="36"/>
          <w:szCs w:val="36"/>
          <w:u w:val="single"/>
          <w:lang w:val="es-ES_tradnl"/>
        </w:rPr>
        <w:lastRenderedPageBreak/>
        <w:t>Comercio Interior del Libro</w:t>
      </w:r>
    </w:p>
    <w:p w:rsidR="00456761" w:rsidRDefault="00B1696B" w:rsidP="00B1696B">
      <w:pPr>
        <w:spacing w:line="360" w:lineRule="auto"/>
        <w:jc w:val="both"/>
        <w:rPr>
          <w:rFonts w:ascii="Century Schoolbook" w:hAnsi="Century Schoolbook"/>
        </w:rPr>
      </w:pPr>
      <w:r w:rsidRPr="00456761">
        <w:rPr>
          <w:rFonts w:ascii="Century Schoolbook" w:hAnsi="Century Schoolbook"/>
        </w:rPr>
        <w:t xml:space="preserve">En el año 2016, la Federación de Gremios de Editores de España volvió a realizar el estudio sobre el comercio interior del libro en España. Esta edición, la número veintisiete, recoge los datos de edición y facturación de las empresas editoriales privadas y agremiadas en España, referidos al ejercicio económico de 2015. </w:t>
      </w:r>
    </w:p>
    <w:p w:rsidR="00456761" w:rsidRDefault="00456761" w:rsidP="00B1696B">
      <w:pPr>
        <w:spacing w:line="360" w:lineRule="auto"/>
        <w:jc w:val="both"/>
        <w:rPr>
          <w:rFonts w:ascii="Century Schoolbook" w:hAnsi="Century Schoolbook"/>
        </w:rPr>
      </w:pPr>
    </w:p>
    <w:p w:rsidR="00B1696B" w:rsidRDefault="00456761" w:rsidP="00B1696B">
      <w:pPr>
        <w:spacing w:line="360" w:lineRule="auto"/>
        <w:jc w:val="both"/>
        <w:rPr>
          <w:rFonts w:ascii="Century Schoolbook" w:hAnsi="Century Schoolbook"/>
        </w:rPr>
      </w:pPr>
      <w:r>
        <w:rPr>
          <w:rFonts w:ascii="Century Schoolbook" w:hAnsi="Century Schoolbook"/>
        </w:rPr>
        <w:t>En el informe</w:t>
      </w:r>
      <w:r w:rsidR="00B1696B" w:rsidRPr="00456761">
        <w:rPr>
          <w:rFonts w:ascii="Century Schoolbook" w:hAnsi="Century Schoolbook"/>
        </w:rPr>
        <w:t xml:space="preserve"> se trata de reflejar la situación actual del mercado editorial y la evolución y tendencias de los pri</w:t>
      </w:r>
      <w:r>
        <w:rPr>
          <w:rFonts w:ascii="Century Schoolbook" w:hAnsi="Century Schoolbook"/>
        </w:rPr>
        <w:t>ncipales indicadores del sector a partir de los datos obtenidos mediante una explotación sistemática de los cuestionarios base cumplimentados por las editoriales  (cifra de facturación por la venta de libros en el mercado interior, oferta de libros y su comercialización, empleo del sector, distribución geográfica de la producción, lengua de edición, precio de los libros, canales de comercialización, etc.).</w:t>
      </w:r>
    </w:p>
    <w:p w:rsidR="00456761" w:rsidRDefault="00456761" w:rsidP="00B1696B">
      <w:pPr>
        <w:spacing w:line="360" w:lineRule="auto"/>
        <w:jc w:val="both"/>
        <w:rPr>
          <w:rFonts w:ascii="Century Schoolbook" w:hAnsi="Century Schoolbook"/>
        </w:rPr>
      </w:pPr>
    </w:p>
    <w:p w:rsidR="00456761" w:rsidRDefault="00456761" w:rsidP="00B1696B">
      <w:pPr>
        <w:spacing w:line="360" w:lineRule="auto"/>
        <w:jc w:val="both"/>
        <w:rPr>
          <w:rFonts w:ascii="Century Schoolbook" w:hAnsi="Century Schoolbook"/>
        </w:rPr>
      </w:pPr>
      <w:r>
        <w:rPr>
          <w:rFonts w:ascii="Century Schoolbook" w:hAnsi="Century Schoolbook"/>
        </w:rPr>
        <w:t>El resumen de los datos básicos del estudio son los siguientes:</w:t>
      </w:r>
    </w:p>
    <w:p w:rsidR="00456761" w:rsidRDefault="00456761" w:rsidP="00B1696B">
      <w:pPr>
        <w:spacing w:line="360" w:lineRule="auto"/>
        <w:jc w:val="both"/>
        <w:rPr>
          <w:rFonts w:ascii="Century Schoolbook" w:hAnsi="Century Schoolbook"/>
        </w:rPr>
      </w:pPr>
    </w:p>
    <w:tbl>
      <w:tblPr>
        <w:tblW w:w="7583" w:type="dxa"/>
        <w:jc w:val="center"/>
        <w:tblCellMar>
          <w:left w:w="70" w:type="dxa"/>
          <w:right w:w="70" w:type="dxa"/>
        </w:tblCellMar>
        <w:tblLook w:val="04A0" w:firstRow="1" w:lastRow="0" w:firstColumn="1" w:lastColumn="0" w:noHBand="0" w:noVBand="1"/>
      </w:tblPr>
      <w:tblGrid>
        <w:gridCol w:w="4551"/>
        <w:gridCol w:w="1189"/>
        <w:gridCol w:w="1843"/>
      </w:tblGrid>
      <w:tr w:rsidR="00456761" w:rsidRPr="00456761" w:rsidTr="000E59CD">
        <w:trPr>
          <w:trHeight w:val="491"/>
          <w:jc w:val="center"/>
        </w:trPr>
        <w:tc>
          <w:tcPr>
            <w:tcW w:w="4551" w:type="dxa"/>
            <w:tcBorders>
              <w:bottom w:val="single" w:sz="4" w:space="0" w:color="auto"/>
              <w:right w:val="single" w:sz="4" w:space="0" w:color="auto"/>
            </w:tcBorders>
            <w:shd w:val="clear" w:color="auto" w:fill="auto"/>
            <w:noWrap/>
            <w:vAlign w:val="bottom"/>
          </w:tcPr>
          <w:p w:rsidR="00456761" w:rsidRPr="00456761" w:rsidRDefault="00456761" w:rsidP="00456761">
            <w:pPr>
              <w:spacing w:line="360" w:lineRule="auto"/>
              <w:rPr>
                <w:rFonts w:ascii="Century Schoolbook" w:hAnsi="Century Schoolbook"/>
                <w:color w:val="FF0000"/>
                <w:sz w:val="18"/>
                <w:szCs w:val="18"/>
              </w:rPr>
            </w:pPr>
            <w:r w:rsidRPr="00456761">
              <w:rPr>
                <w:rFonts w:ascii="Century Schoolbook" w:hAnsi="Century Schoolbook"/>
                <w:color w:val="FF0000"/>
                <w:sz w:val="18"/>
                <w:szCs w:val="18"/>
              </w:rPr>
              <w:t> </w:t>
            </w:r>
          </w:p>
        </w:tc>
        <w:tc>
          <w:tcPr>
            <w:tcW w:w="1189" w:type="dxa"/>
            <w:tcBorders>
              <w:top w:val="single" w:sz="4" w:space="0" w:color="auto"/>
              <w:left w:val="single" w:sz="4" w:space="0" w:color="auto"/>
              <w:bottom w:val="single" w:sz="4" w:space="0" w:color="auto"/>
              <w:right w:val="single" w:sz="4" w:space="0" w:color="auto"/>
            </w:tcBorders>
            <w:shd w:val="clear" w:color="auto" w:fill="548DD4" w:themeFill="text2" w:themeFillTint="99"/>
            <w:noWrap/>
            <w:vAlign w:val="bottom"/>
          </w:tcPr>
          <w:p w:rsidR="00456761" w:rsidRPr="00456761" w:rsidRDefault="00456761" w:rsidP="00456761">
            <w:pPr>
              <w:spacing w:line="360" w:lineRule="auto"/>
              <w:rPr>
                <w:rFonts w:ascii="Century Schoolbook" w:hAnsi="Century Schoolbook"/>
                <w:bCs/>
                <w:color w:val="FFFFFF" w:themeColor="background1"/>
                <w:sz w:val="18"/>
                <w:szCs w:val="18"/>
              </w:rPr>
            </w:pPr>
            <w:r w:rsidRPr="00456761">
              <w:rPr>
                <w:rFonts w:ascii="Century Schoolbook" w:hAnsi="Century Schoolbook"/>
                <w:bCs/>
                <w:color w:val="FFFFFF" w:themeColor="background1"/>
                <w:sz w:val="18"/>
                <w:szCs w:val="18"/>
              </w:rPr>
              <w:t>2015</w:t>
            </w:r>
          </w:p>
        </w:tc>
        <w:tc>
          <w:tcPr>
            <w:tcW w:w="1843" w:type="dxa"/>
            <w:tcBorders>
              <w:top w:val="single" w:sz="4" w:space="0" w:color="auto"/>
              <w:left w:val="single" w:sz="4" w:space="0" w:color="auto"/>
              <w:bottom w:val="single" w:sz="4" w:space="0" w:color="auto"/>
              <w:right w:val="single" w:sz="4" w:space="0" w:color="auto"/>
            </w:tcBorders>
            <w:shd w:val="clear" w:color="auto" w:fill="548DD4" w:themeFill="text2" w:themeFillTint="99"/>
            <w:noWrap/>
            <w:vAlign w:val="bottom"/>
          </w:tcPr>
          <w:p w:rsidR="00456761" w:rsidRPr="00456761" w:rsidRDefault="00456761" w:rsidP="00456761">
            <w:pPr>
              <w:spacing w:line="360" w:lineRule="auto"/>
              <w:rPr>
                <w:rFonts w:ascii="Century Schoolbook" w:hAnsi="Century Schoolbook"/>
                <w:bCs/>
                <w:color w:val="FFFFFF" w:themeColor="background1"/>
                <w:sz w:val="18"/>
                <w:szCs w:val="18"/>
              </w:rPr>
            </w:pPr>
            <w:r w:rsidRPr="00456761">
              <w:rPr>
                <w:rFonts w:ascii="Century Schoolbook" w:hAnsi="Century Schoolbook"/>
                <w:bCs/>
                <w:color w:val="FFFFFF" w:themeColor="background1"/>
                <w:sz w:val="18"/>
                <w:szCs w:val="18"/>
              </w:rPr>
              <w:t>%    2015/2014</w:t>
            </w:r>
          </w:p>
        </w:tc>
      </w:tr>
      <w:tr w:rsidR="00456761" w:rsidRPr="00456761" w:rsidTr="000E59CD">
        <w:trPr>
          <w:trHeight w:val="255"/>
          <w:jc w:val="center"/>
        </w:trPr>
        <w:tc>
          <w:tcPr>
            <w:tcW w:w="4551" w:type="dxa"/>
            <w:tcBorders>
              <w:top w:val="single" w:sz="4" w:space="0" w:color="auto"/>
              <w:left w:val="single" w:sz="4" w:space="0" w:color="auto"/>
              <w:bottom w:val="nil"/>
              <w:right w:val="single" w:sz="4" w:space="0" w:color="auto"/>
            </w:tcBorders>
            <w:shd w:val="clear" w:color="auto" w:fill="auto"/>
            <w:vAlign w:val="bottom"/>
          </w:tcPr>
          <w:p w:rsidR="00456761" w:rsidRPr="00456761" w:rsidRDefault="00456761" w:rsidP="00456761">
            <w:pPr>
              <w:spacing w:line="360" w:lineRule="auto"/>
              <w:rPr>
                <w:rFonts w:ascii="Century Schoolbook" w:hAnsi="Century Schoolbook"/>
                <w:sz w:val="18"/>
                <w:szCs w:val="18"/>
              </w:rPr>
            </w:pPr>
            <w:r w:rsidRPr="00456761">
              <w:rPr>
                <w:rFonts w:ascii="Century Schoolbook" w:hAnsi="Century Schoolbook"/>
                <w:sz w:val="18"/>
                <w:szCs w:val="18"/>
              </w:rPr>
              <w:t>Empresas editoriales privadas y agremiadas</w:t>
            </w:r>
          </w:p>
        </w:tc>
        <w:tc>
          <w:tcPr>
            <w:tcW w:w="1189" w:type="dxa"/>
            <w:tcBorders>
              <w:top w:val="single" w:sz="4" w:space="0" w:color="auto"/>
              <w:left w:val="single" w:sz="4" w:space="0" w:color="auto"/>
              <w:bottom w:val="nil"/>
              <w:right w:val="single" w:sz="4" w:space="0" w:color="auto"/>
            </w:tcBorders>
            <w:shd w:val="clear" w:color="auto" w:fill="auto"/>
            <w:noWrap/>
            <w:vAlign w:val="center"/>
          </w:tcPr>
          <w:p w:rsidR="00456761" w:rsidRPr="00456761" w:rsidRDefault="00456761" w:rsidP="00456761">
            <w:pPr>
              <w:spacing w:line="360" w:lineRule="auto"/>
              <w:jc w:val="right"/>
              <w:rPr>
                <w:rFonts w:ascii="Century Schoolbook" w:hAnsi="Century Schoolbook"/>
                <w:b/>
                <w:sz w:val="18"/>
                <w:szCs w:val="18"/>
              </w:rPr>
            </w:pPr>
            <w:r w:rsidRPr="00456761">
              <w:rPr>
                <w:rFonts w:ascii="Century Schoolbook" w:hAnsi="Century Schoolbook"/>
                <w:b/>
                <w:sz w:val="18"/>
                <w:szCs w:val="18"/>
              </w:rPr>
              <w:t>775</w:t>
            </w:r>
          </w:p>
        </w:tc>
        <w:tc>
          <w:tcPr>
            <w:tcW w:w="1843" w:type="dxa"/>
            <w:tcBorders>
              <w:top w:val="single" w:sz="4" w:space="0" w:color="auto"/>
              <w:left w:val="single" w:sz="4" w:space="0" w:color="auto"/>
              <w:bottom w:val="nil"/>
              <w:right w:val="single" w:sz="4" w:space="0" w:color="auto"/>
            </w:tcBorders>
            <w:shd w:val="clear" w:color="auto" w:fill="auto"/>
            <w:noWrap/>
            <w:vAlign w:val="center"/>
          </w:tcPr>
          <w:p w:rsidR="00456761" w:rsidRPr="00456761" w:rsidRDefault="00456761" w:rsidP="00456761">
            <w:pPr>
              <w:spacing w:line="360" w:lineRule="auto"/>
              <w:rPr>
                <w:rFonts w:ascii="Century Schoolbook" w:hAnsi="Century Schoolbook"/>
                <w:sz w:val="18"/>
                <w:szCs w:val="18"/>
              </w:rPr>
            </w:pPr>
            <w:r w:rsidRPr="00456761">
              <w:rPr>
                <w:rFonts w:ascii="Century Schoolbook" w:hAnsi="Century Schoolbook"/>
                <w:sz w:val="18"/>
                <w:szCs w:val="18"/>
              </w:rPr>
              <w:t>0,9</w:t>
            </w:r>
          </w:p>
        </w:tc>
      </w:tr>
      <w:tr w:rsidR="00456761" w:rsidRPr="00456761" w:rsidTr="000E59CD">
        <w:trPr>
          <w:trHeight w:val="255"/>
          <w:jc w:val="center"/>
        </w:trPr>
        <w:tc>
          <w:tcPr>
            <w:tcW w:w="4551" w:type="dxa"/>
            <w:tcBorders>
              <w:top w:val="nil"/>
              <w:left w:val="single" w:sz="4" w:space="0" w:color="auto"/>
              <w:bottom w:val="nil"/>
              <w:right w:val="single" w:sz="4" w:space="0" w:color="auto"/>
            </w:tcBorders>
            <w:shd w:val="clear" w:color="auto" w:fill="auto"/>
            <w:vAlign w:val="bottom"/>
          </w:tcPr>
          <w:p w:rsidR="00456761" w:rsidRPr="00456761" w:rsidRDefault="00456761" w:rsidP="00456761">
            <w:pPr>
              <w:spacing w:line="360" w:lineRule="auto"/>
              <w:rPr>
                <w:rFonts w:ascii="Century Schoolbook" w:hAnsi="Century Schoolbook"/>
                <w:sz w:val="18"/>
                <w:szCs w:val="18"/>
              </w:rPr>
            </w:pPr>
            <w:r w:rsidRPr="00456761">
              <w:rPr>
                <w:rFonts w:ascii="Century Schoolbook" w:hAnsi="Century Schoolbook"/>
                <w:sz w:val="18"/>
                <w:szCs w:val="18"/>
              </w:rPr>
              <w:t>Empleados (empleo directo)</w:t>
            </w:r>
          </w:p>
        </w:tc>
        <w:tc>
          <w:tcPr>
            <w:tcW w:w="1189" w:type="dxa"/>
            <w:tcBorders>
              <w:top w:val="nil"/>
              <w:left w:val="single" w:sz="4" w:space="0" w:color="auto"/>
              <w:bottom w:val="nil"/>
              <w:right w:val="single" w:sz="4" w:space="0" w:color="auto"/>
            </w:tcBorders>
            <w:shd w:val="clear" w:color="auto" w:fill="auto"/>
            <w:noWrap/>
            <w:vAlign w:val="center"/>
          </w:tcPr>
          <w:p w:rsidR="00456761" w:rsidRPr="00456761" w:rsidRDefault="00456761" w:rsidP="00456761">
            <w:pPr>
              <w:spacing w:line="360" w:lineRule="auto"/>
              <w:jc w:val="right"/>
              <w:rPr>
                <w:rFonts w:ascii="Century Schoolbook" w:hAnsi="Century Schoolbook"/>
                <w:b/>
                <w:sz w:val="18"/>
                <w:szCs w:val="18"/>
              </w:rPr>
            </w:pPr>
            <w:r w:rsidRPr="00456761">
              <w:rPr>
                <w:rFonts w:ascii="Century Schoolbook" w:hAnsi="Century Schoolbook"/>
                <w:b/>
                <w:sz w:val="18"/>
                <w:szCs w:val="18"/>
              </w:rPr>
              <w:t>12.532</w:t>
            </w:r>
          </w:p>
        </w:tc>
        <w:tc>
          <w:tcPr>
            <w:tcW w:w="1843" w:type="dxa"/>
            <w:tcBorders>
              <w:top w:val="nil"/>
              <w:left w:val="single" w:sz="4" w:space="0" w:color="auto"/>
              <w:bottom w:val="nil"/>
              <w:right w:val="single" w:sz="4" w:space="0" w:color="auto"/>
            </w:tcBorders>
            <w:shd w:val="clear" w:color="auto" w:fill="auto"/>
            <w:noWrap/>
            <w:vAlign w:val="center"/>
          </w:tcPr>
          <w:p w:rsidR="00456761" w:rsidRPr="00456761" w:rsidRDefault="00456761" w:rsidP="00456761">
            <w:pPr>
              <w:spacing w:line="360" w:lineRule="auto"/>
              <w:rPr>
                <w:rFonts w:ascii="Century Schoolbook" w:hAnsi="Century Schoolbook"/>
                <w:sz w:val="18"/>
                <w:szCs w:val="18"/>
              </w:rPr>
            </w:pPr>
            <w:r w:rsidRPr="00456761">
              <w:rPr>
                <w:rFonts w:ascii="Century Schoolbook" w:hAnsi="Century Schoolbook"/>
                <w:sz w:val="18"/>
                <w:szCs w:val="18"/>
              </w:rPr>
              <w:t>1,0</w:t>
            </w:r>
          </w:p>
        </w:tc>
      </w:tr>
      <w:tr w:rsidR="00456761" w:rsidRPr="00456761" w:rsidTr="000E59CD">
        <w:trPr>
          <w:trHeight w:val="255"/>
          <w:jc w:val="center"/>
        </w:trPr>
        <w:tc>
          <w:tcPr>
            <w:tcW w:w="4551" w:type="dxa"/>
            <w:tcBorders>
              <w:top w:val="nil"/>
              <w:left w:val="single" w:sz="4" w:space="0" w:color="auto"/>
              <w:bottom w:val="nil"/>
              <w:right w:val="single" w:sz="4" w:space="0" w:color="auto"/>
            </w:tcBorders>
            <w:shd w:val="clear" w:color="auto" w:fill="auto"/>
            <w:vAlign w:val="bottom"/>
          </w:tcPr>
          <w:p w:rsidR="00456761" w:rsidRPr="00456761" w:rsidRDefault="00456761" w:rsidP="00456761">
            <w:pPr>
              <w:spacing w:line="360" w:lineRule="auto"/>
              <w:rPr>
                <w:rFonts w:ascii="Century Schoolbook" w:hAnsi="Century Schoolbook"/>
                <w:sz w:val="18"/>
                <w:szCs w:val="18"/>
              </w:rPr>
            </w:pPr>
            <w:r w:rsidRPr="00456761">
              <w:rPr>
                <w:rFonts w:ascii="Century Schoolbook" w:hAnsi="Century Schoolbook"/>
                <w:sz w:val="18"/>
                <w:szCs w:val="18"/>
              </w:rPr>
              <w:t>Títulos editados (incluidas las reimpresiones)</w:t>
            </w:r>
          </w:p>
        </w:tc>
        <w:tc>
          <w:tcPr>
            <w:tcW w:w="1189" w:type="dxa"/>
            <w:tcBorders>
              <w:top w:val="nil"/>
              <w:left w:val="single" w:sz="4" w:space="0" w:color="auto"/>
              <w:bottom w:val="nil"/>
              <w:right w:val="single" w:sz="4" w:space="0" w:color="auto"/>
            </w:tcBorders>
            <w:shd w:val="clear" w:color="auto" w:fill="auto"/>
            <w:noWrap/>
            <w:vAlign w:val="center"/>
          </w:tcPr>
          <w:p w:rsidR="00456761" w:rsidRPr="00456761" w:rsidRDefault="00456761" w:rsidP="00456761">
            <w:pPr>
              <w:spacing w:line="360" w:lineRule="auto"/>
              <w:jc w:val="right"/>
              <w:rPr>
                <w:rFonts w:ascii="Century Schoolbook" w:hAnsi="Century Schoolbook"/>
                <w:b/>
                <w:sz w:val="18"/>
                <w:szCs w:val="18"/>
              </w:rPr>
            </w:pPr>
            <w:r w:rsidRPr="00456761">
              <w:rPr>
                <w:rFonts w:ascii="Century Schoolbook" w:hAnsi="Century Schoolbook"/>
                <w:b/>
                <w:sz w:val="18"/>
                <w:szCs w:val="18"/>
              </w:rPr>
              <w:t>80.181</w:t>
            </w:r>
          </w:p>
        </w:tc>
        <w:tc>
          <w:tcPr>
            <w:tcW w:w="1843" w:type="dxa"/>
            <w:tcBorders>
              <w:top w:val="nil"/>
              <w:left w:val="single" w:sz="4" w:space="0" w:color="auto"/>
              <w:bottom w:val="nil"/>
              <w:right w:val="single" w:sz="4" w:space="0" w:color="auto"/>
            </w:tcBorders>
            <w:shd w:val="clear" w:color="auto" w:fill="auto"/>
            <w:noWrap/>
            <w:vAlign w:val="center"/>
          </w:tcPr>
          <w:p w:rsidR="00456761" w:rsidRPr="00456761" w:rsidRDefault="00456761" w:rsidP="00456761">
            <w:pPr>
              <w:spacing w:line="360" w:lineRule="auto"/>
              <w:rPr>
                <w:rFonts w:ascii="Century Schoolbook" w:hAnsi="Century Schoolbook"/>
                <w:sz w:val="18"/>
                <w:szCs w:val="18"/>
              </w:rPr>
            </w:pPr>
            <w:r w:rsidRPr="00456761">
              <w:rPr>
                <w:rFonts w:ascii="Century Schoolbook" w:hAnsi="Century Schoolbook"/>
                <w:sz w:val="18"/>
                <w:szCs w:val="18"/>
              </w:rPr>
              <w:t>2,1</w:t>
            </w:r>
          </w:p>
        </w:tc>
      </w:tr>
      <w:tr w:rsidR="00456761" w:rsidRPr="00456761" w:rsidTr="000E59CD">
        <w:trPr>
          <w:trHeight w:val="255"/>
          <w:jc w:val="center"/>
        </w:trPr>
        <w:tc>
          <w:tcPr>
            <w:tcW w:w="4551" w:type="dxa"/>
            <w:tcBorders>
              <w:top w:val="nil"/>
              <w:left w:val="single" w:sz="4" w:space="0" w:color="auto"/>
              <w:bottom w:val="nil"/>
              <w:right w:val="single" w:sz="4" w:space="0" w:color="auto"/>
            </w:tcBorders>
            <w:shd w:val="clear" w:color="auto" w:fill="auto"/>
            <w:vAlign w:val="bottom"/>
          </w:tcPr>
          <w:p w:rsidR="00456761" w:rsidRPr="00456761" w:rsidRDefault="00456761" w:rsidP="00456761">
            <w:pPr>
              <w:spacing w:line="360" w:lineRule="auto"/>
              <w:rPr>
                <w:rFonts w:ascii="Century Schoolbook" w:hAnsi="Century Schoolbook"/>
                <w:sz w:val="18"/>
                <w:szCs w:val="18"/>
              </w:rPr>
            </w:pPr>
            <w:r w:rsidRPr="00456761">
              <w:rPr>
                <w:rFonts w:ascii="Century Schoolbook" w:hAnsi="Century Schoolbook"/>
                <w:sz w:val="18"/>
                <w:szCs w:val="18"/>
              </w:rPr>
              <w:t>Ejemplares producidos (miles)</w:t>
            </w:r>
          </w:p>
        </w:tc>
        <w:tc>
          <w:tcPr>
            <w:tcW w:w="1189" w:type="dxa"/>
            <w:tcBorders>
              <w:top w:val="nil"/>
              <w:left w:val="single" w:sz="4" w:space="0" w:color="auto"/>
              <w:bottom w:val="nil"/>
              <w:right w:val="single" w:sz="4" w:space="0" w:color="auto"/>
            </w:tcBorders>
            <w:shd w:val="clear" w:color="auto" w:fill="auto"/>
            <w:noWrap/>
            <w:vAlign w:val="center"/>
          </w:tcPr>
          <w:p w:rsidR="00456761" w:rsidRPr="00456761" w:rsidRDefault="00456761" w:rsidP="00456761">
            <w:pPr>
              <w:spacing w:line="360" w:lineRule="auto"/>
              <w:jc w:val="right"/>
              <w:rPr>
                <w:rFonts w:ascii="Century Schoolbook" w:hAnsi="Century Schoolbook"/>
                <w:b/>
                <w:sz w:val="18"/>
                <w:szCs w:val="18"/>
              </w:rPr>
            </w:pPr>
            <w:r w:rsidRPr="00456761">
              <w:rPr>
                <w:rFonts w:ascii="Century Schoolbook" w:hAnsi="Century Schoolbook"/>
                <w:b/>
                <w:sz w:val="18"/>
                <w:szCs w:val="18"/>
              </w:rPr>
              <w:t>225.277</w:t>
            </w:r>
          </w:p>
        </w:tc>
        <w:tc>
          <w:tcPr>
            <w:tcW w:w="1843" w:type="dxa"/>
            <w:tcBorders>
              <w:top w:val="nil"/>
              <w:left w:val="single" w:sz="4" w:space="0" w:color="auto"/>
              <w:bottom w:val="nil"/>
              <w:right w:val="single" w:sz="4" w:space="0" w:color="auto"/>
            </w:tcBorders>
            <w:shd w:val="clear" w:color="auto" w:fill="auto"/>
            <w:noWrap/>
            <w:vAlign w:val="center"/>
          </w:tcPr>
          <w:p w:rsidR="00456761" w:rsidRPr="00456761" w:rsidRDefault="00456761" w:rsidP="00456761">
            <w:pPr>
              <w:spacing w:line="360" w:lineRule="auto"/>
              <w:rPr>
                <w:rFonts w:ascii="Century Schoolbook" w:hAnsi="Century Schoolbook"/>
                <w:sz w:val="18"/>
                <w:szCs w:val="18"/>
              </w:rPr>
            </w:pPr>
            <w:r w:rsidRPr="00456761">
              <w:rPr>
                <w:rFonts w:ascii="Century Schoolbook" w:hAnsi="Century Schoolbook"/>
                <w:sz w:val="18"/>
                <w:szCs w:val="18"/>
              </w:rPr>
              <w:t>-0,6</w:t>
            </w:r>
          </w:p>
        </w:tc>
      </w:tr>
      <w:tr w:rsidR="00456761" w:rsidRPr="00456761" w:rsidTr="000E59CD">
        <w:trPr>
          <w:trHeight w:val="255"/>
          <w:jc w:val="center"/>
        </w:trPr>
        <w:tc>
          <w:tcPr>
            <w:tcW w:w="4551" w:type="dxa"/>
            <w:tcBorders>
              <w:top w:val="nil"/>
              <w:left w:val="single" w:sz="4" w:space="0" w:color="auto"/>
              <w:bottom w:val="nil"/>
              <w:right w:val="single" w:sz="4" w:space="0" w:color="auto"/>
            </w:tcBorders>
            <w:shd w:val="clear" w:color="auto" w:fill="auto"/>
            <w:vAlign w:val="bottom"/>
          </w:tcPr>
          <w:p w:rsidR="00456761" w:rsidRPr="00456761" w:rsidRDefault="00456761" w:rsidP="00456761">
            <w:pPr>
              <w:spacing w:line="360" w:lineRule="auto"/>
              <w:rPr>
                <w:rFonts w:ascii="Century Schoolbook" w:hAnsi="Century Schoolbook"/>
                <w:sz w:val="18"/>
                <w:szCs w:val="18"/>
              </w:rPr>
            </w:pPr>
            <w:r w:rsidRPr="00456761">
              <w:rPr>
                <w:rFonts w:ascii="Century Schoolbook" w:hAnsi="Century Schoolbook"/>
                <w:sz w:val="18"/>
                <w:szCs w:val="18"/>
              </w:rPr>
              <w:t>Tirada media (ejemplares/título)</w:t>
            </w:r>
          </w:p>
        </w:tc>
        <w:tc>
          <w:tcPr>
            <w:tcW w:w="1189" w:type="dxa"/>
            <w:tcBorders>
              <w:top w:val="nil"/>
              <w:left w:val="single" w:sz="4" w:space="0" w:color="auto"/>
              <w:bottom w:val="nil"/>
              <w:right w:val="single" w:sz="4" w:space="0" w:color="auto"/>
            </w:tcBorders>
            <w:shd w:val="clear" w:color="auto" w:fill="auto"/>
            <w:noWrap/>
            <w:vAlign w:val="center"/>
          </w:tcPr>
          <w:p w:rsidR="00456761" w:rsidRPr="00456761" w:rsidRDefault="00456761" w:rsidP="00456761">
            <w:pPr>
              <w:spacing w:line="360" w:lineRule="auto"/>
              <w:jc w:val="right"/>
              <w:rPr>
                <w:rFonts w:ascii="Century Schoolbook" w:hAnsi="Century Schoolbook"/>
                <w:b/>
                <w:sz w:val="18"/>
                <w:szCs w:val="18"/>
              </w:rPr>
            </w:pPr>
            <w:r w:rsidRPr="00456761">
              <w:rPr>
                <w:rFonts w:ascii="Century Schoolbook" w:hAnsi="Century Schoolbook"/>
                <w:b/>
                <w:sz w:val="18"/>
                <w:szCs w:val="18"/>
              </w:rPr>
              <w:t>2.810</w:t>
            </w:r>
          </w:p>
        </w:tc>
        <w:tc>
          <w:tcPr>
            <w:tcW w:w="1843" w:type="dxa"/>
            <w:tcBorders>
              <w:top w:val="nil"/>
              <w:left w:val="single" w:sz="4" w:space="0" w:color="auto"/>
              <w:bottom w:val="nil"/>
              <w:right w:val="single" w:sz="4" w:space="0" w:color="auto"/>
            </w:tcBorders>
            <w:shd w:val="clear" w:color="auto" w:fill="auto"/>
            <w:noWrap/>
            <w:vAlign w:val="center"/>
          </w:tcPr>
          <w:p w:rsidR="00456761" w:rsidRPr="00456761" w:rsidRDefault="00456761" w:rsidP="00456761">
            <w:pPr>
              <w:spacing w:line="360" w:lineRule="auto"/>
              <w:rPr>
                <w:rFonts w:ascii="Century Schoolbook" w:hAnsi="Century Schoolbook"/>
                <w:sz w:val="18"/>
                <w:szCs w:val="18"/>
              </w:rPr>
            </w:pPr>
            <w:r w:rsidRPr="00456761">
              <w:rPr>
                <w:rFonts w:ascii="Century Schoolbook" w:hAnsi="Century Schoolbook"/>
                <w:sz w:val="18"/>
                <w:szCs w:val="18"/>
              </w:rPr>
              <w:t>-2,7</w:t>
            </w:r>
          </w:p>
        </w:tc>
      </w:tr>
      <w:tr w:rsidR="00456761" w:rsidRPr="00456761" w:rsidTr="000E59CD">
        <w:trPr>
          <w:trHeight w:val="255"/>
          <w:jc w:val="center"/>
        </w:trPr>
        <w:tc>
          <w:tcPr>
            <w:tcW w:w="4551" w:type="dxa"/>
            <w:tcBorders>
              <w:top w:val="nil"/>
              <w:left w:val="single" w:sz="4" w:space="0" w:color="auto"/>
              <w:bottom w:val="nil"/>
              <w:right w:val="single" w:sz="4" w:space="0" w:color="auto"/>
            </w:tcBorders>
            <w:shd w:val="clear" w:color="auto" w:fill="auto"/>
            <w:vAlign w:val="bottom"/>
          </w:tcPr>
          <w:p w:rsidR="00456761" w:rsidRPr="00456761" w:rsidRDefault="00456761" w:rsidP="00456761">
            <w:pPr>
              <w:spacing w:line="360" w:lineRule="auto"/>
              <w:rPr>
                <w:rFonts w:ascii="Century Schoolbook" w:hAnsi="Century Schoolbook"/>
                <w:sz w:val="18"/>
                <w:szCs w:val="18"/>
              </w:rPr>
            </w:pPr>
            <w:r w:rsidRPr="00456761">
              <w:rPr>
                <w:rFonts w:ascii="Century Schoolbook" w:hAnsi="Century Schoolbook"/>
                <w:sz w:val="18"/>
                <w:szCs w:val="18"/>
              </w:rPr>
              <w:t>Títulos vivos en oferta</w:t>
            </w:r>
          </w:p>
        </w:tc>
        <w:tc>
          <w:tcPr>
            <w:tcW w:w="1189" w:type="dxa"/>
            <w:tcBorders>
              <w:top w:val="nil"/>
              <w:left w:val="single" w:sz="4" w:space="0" w:color="auto"/>
              <w:bottom w:val="nil"/>
              <w:right w:val="single" w:sz="4" w:space="0" w:color="auto"/>
            </w:tcBorders>
            <w:shd w:val="clear" w:color="auto" w:fill="auto"/>
            <w:noWrap/>
            <w:vAlign w:val="center"/>
          </w:tcPr>
          <w:p w:rsidR="00456761" w:rsidRPr="00456761" w:rsidRDefault="00456761" w:rsidP="00456761">
            <w:pPr>
              <w:spacing w:line="360" w:lineRule="auto"/>
              <w:jc w:val="right"/>
              <w:rPr>
                <w:rFonts w:ascii="Century Schoolbook" w:hAnsi="Century Schoolbook"/>
                <w:b/>
                <w:sz w:val="18"/>
                <w:szCs w:val="18"/>
              </w:rPr>
            </w:pPr>
            <w:r w:rsidRPr="00456761">
              <w:rPr>
                <w:rFonts w:ascii="Century Schoolbook" w:hAnsi="Century Schoolbook"/>
                <w:b/>
                <w:sz w:val="18"/>
                <w:szCs w:val="18"/>
              </w:rPr>
              <w:t>586.811</w:t>
            </w:r>
          </w:p>
        </w:tc>
        <w:tc>
          <w:tcPr>
            <w:tcW w:w="1843" w:type="dxa"/>
            <w:tcBorders>
              <w:top w:val="nil"/>
              <w:left w:val="single" w:sz="4" w:space="0" w:color="auto"/>
              <w:bottom w:val="nil"/>
              <w:right w:val="single" w:sz="4" w:space="0" w:color="auto"/>
            </w:tcBorders>
            <w:shd w:val="clear" w:color="auto" w:fill="auto"/>
            <w:noWrap/>
            <w:vAlign w:val="center"/>
          </w:tcPr>
          <w:p w:rsidR="00456761" w:rsidRPr="00456761" w:rsidRDefault="00456761" w:rsidP="00456761">
            <w:pPr>
              <w:spacing w:line="360" w:lineRule="auto"/>
              <w:rPr>
                <w:rFonts w:ascii="Century Schoolbook" w:hAnsi="Century Schoolbook"/>
                <w:sz w:val="18"/>
                <w:szCs w:val="18"/>
              </w:rPr>
            </w:pPr>
            <w:r w:rsidRPr="00456761">
              <w:rPr>
                <w:rFonts w:ascii="Century Schoolbook" w:hAnsi="Century Schoolbook"/>
                <w:sz w:val="18"/>
                <w:szCs w:val="18"/>
              </w:rPr>
              <w:t>5,9</w:t>
            </w:r>
          </w:p>
        </w:tc>
      </w:tr>
      <w:tr w:rsidR="00456761" w:rsidRPr="00456761" w:rsidTr="000E59CD">
        <w:trPr>
          <w:trHeight w:val="213"/>
          <w:jc w:val="center"/>
        </w:trPr>
        <w:tc>
          <w:tcPr>
            <w:tcW w:w="4551" w:type="dxa"/>
            <w:tcBorders>
              <w:top w:val="nil"/>
              <w:left w:val="single" w:sz="4" w:space="0" w:color="auto"/>
              <w:bottom w:val="nil"/>
              <w:right w:val="single" w:sz="4" w:space="0" w:color="auto"/>
            </w:tcBorders>
            <w:shd w:val="clear" w:color="auto" w:fill="auto"/>
            <w:vAlign w:val="bottom"/>
          </w:tcPr>
          <w:p w:rsidR="00456761" w:rsidRPr="00456761" w:rsidRDefault="00456761" w:rsidP="00456761">
            <w:pPr>
              <w:spacing w:line="360" w:lineRule="auto"/>
              <w:rPr>
                <w:rFonts w:ascii="Century Schoolbook" w:hAnsi="Century Schoolbook"/>
                <w:sz w:val="18"/>
                <w:szCs w:val="18"/>
              </w:rPr>
            </w:pPr>
            <w:r w:rsidRPr="00456761">
              <w:rPr>
                <w:rFonts w:ascii="Century Schoolbook" w:hAnsi="Century Schoolbook"/>
                <w:sz w:val="18"/>
                <w:szCs w:val="18"/>
                <w:lang w:val="es-ES_tradnl"/>
              </w:rPr>
              <w:t>Facturación mercado interior (PVP) (</w:t>
            </w:r>
            <w:proofErr w:type="spellStart"/>
            <w:r w:rsidRPr="00456761">
              <w:rPr>
                <w:rFonts w:ascii="Century Schoolbook" w:hAnsi="Century Schoolbook"/>
                <w:sz w:val="18"/>
                <w:szCs w:val="18"/>
                <w:lang w:val="es-ES_tradnl"/>
              </w:rPr>
              <w:t>mill</w:t>
            </w:r>
            <w:proofErr w:type="spellEnd"/>
            <w:r w:rsidRPr="00456761">
              <w:rPr>
                <w:rFonts w:ascii="Century Schoolbook" w:hAnsi="Century Schoolbook"/>
                <w:sz w:val="18"/>
                <w:szCs w:val="18"/>
                <w:lang w:val="es-ES_tradnl"/>
              </w:rPr>
              <w:t>. Euros)</w:t>
            </w:r>
          </w:p>
        </w:tc>
        <w:tc>
          <w:tcPr>
            <w:tcW w:w="1189" w:type="dxa"/>
            <w:tcBorders>
              <w:top w:val="nil"/>
              <w:left w:val="single" w:sz="4" w:space="0" w:color="auto"/>
              <w:bottom w:val="nil"/>
              <w:right w:val="single" w:sz="4" w:space="0" w:color="auto"/>
            </w:tcBorders>
            <w:shd w:val="clear" w:color="auto" w:fill="auto"/>
            <w:noWrap/>
            <w:vAlign w:val="center"/>
          </w:tcPr>
          <w:p w:rsidR="00456761" w:rsidRPr="00456761" w:rsidRDefault="00456761" w:rsidP="00456761">
            <w:pPr>
              <w:spacing w:line="360" w:lineRule="auto"/>
              <w:jc w:val="right"/>
              <w:rPr>
                <w:rFonts w:ascii="Century Schoolbook" w:hAnsi="Century Schoolbook"/>
                <w:b/>
                <w:sz w:val="18"/>
                <w:szCs w:val="18"/>
              </w:rPr>
            </w:pPr>
            <w:r w:rsidRPr="00456761">
              <w:rPr>
                <w:rFonts w:ascii="Century Schoolbook" w:hAnsi="Century Schoolbook"/>
                <w:b/>
                <w:sz w:val="18"/>
                <w:szCs w:val="18"/>
              </w:rPr>
              <w:t>2.257,07</w:t>
            </w:r>
          </w:p>
        </w:tc>
        <w:tc>
          <w:tcPr>
            <w:tcW w:w="1843" w:type="dxa"/>
            <w:tcBorders>
              <w:top w:val="nil"/>
              <w:left w:val="single" w:sz="4" w:space="0" w:color="auto"/>
              <w:bottom w:val="nil"/>
              <w:right w:val="single" w:sz="4" w:space="0" w:color="auto"/>
            </w:tcBorders>
            <w:shd w:val="clear" w:color="auto" w:fill="auto"/>
            <w:noWrap/>
            <w:vAlign w:val="center"/>
          </w:tcPr>
          <w:p w:rsidR="00456761" w:rsidRPr="00456761" w:rsidRDefault="00456761" w:rsidP="00456761">
            <w:pPr>
              <w:spacing w:line="360" w:lineRule="auto"/>
              <w:rPr>
                <w:rFonts w:ascii="Century Schoolbook" w:hAnsi="Century Schoolbook"/>
                <w:sz w:val="18"/>
                <w:szCs w:val="18"/>
              </w:rPr>
            </w:pPr>
            <w:r w:rsidRPr="00456761">
              <w:rPr>
                <w:rFonts w:ascii="Century Schoolbook" w:hAnsi="Century Schoolbook"/>
                <w:sz w:val="18"/>
                <w:szCs w:val="18"/>
              </w:rPr>
              <w:t>2,8</w:t>
            </w:r>
          </w:p>
        </w:tc>
      </w:tr>
      <w:tr w:rsidR="00456761" w:rsidRPr="00456761" w:rsidTr="000E59CD">
        <w:trPr>
          <w:trHeight w:val="240"/>
          <w:jc w:val="center"/>
        </w:trPr>
        <w:tc>
          <w:tcPr>
            <w:tcW w:w="4551" w:type="dxa"/>
            <w:tcBorders>
              <w:top w:val="nil"/>
              <w:left w:val="single" w:sz="4" w:space="0" w:color="auto"/>
              <w:bottom w:val="nil"/>
              <w:right w:val="single" w:sz="4" w:space="0" w:color="auto"/>
            </w:tcBorders>
            <w:shd w:val="clear" w:color="auto" w:fill="auto"/>
            <w:noWrap/>
            <w:vAlign w:val="bottom"/>
          </w:tcPr>
          <w:p w:rsidR="00456761" w:rsidRPr="00456761" w:rsidRDefault="00456761" w:rsidP="00456761">
            <w:pPr>
              <w:spacing w:line="360" w:lineRule="auto"/>
              <w:rPr>
                <w:rFonts w:ascii="Century Schoolbook" w:hAnsi="Century Schoolbook"/>
                <w:sz w:val="18"/>
                <w:szCs w:val="18"/>
              </w:rPr>
            </w:pPr>
            <w:r w:rsidRPr="00456761">
              <w:rPr>
                <w:rFonts w:ascii="Century Schoolbook" w:hAnsi="Century Schoolbook"/>
                <w:sz w:val="18"/>
                <w:szCs w:val="18"/>
              </w:rPr>
              <w:t>Facturación neta mercado interior (</w:t>
            </w:r>
            <w:proofErr w:type="spellStart"/>
            <w:r w:rsidRPr="00456761">
              <w:rPr>
                <w:rFonts w:ascii="Century Schoolbook" w:hAnsi="Century Schoolbook"/>
                <w:sz w:val="18"/>
                <w:szCs w:val="18"/>
              </w:rPr>
              <w:t>mill</w:t>
            </w:r>
            <w:proofErr w:type="spellEnd"/>
            <w:r w:rsidRPr="00456761">
              <w:rPr>
                <w:rFonts w:ascii="Century Schoolbook" w:hAnsi="Century Schoolbook"/>
                <w:sz w:val="18"/>
                <w:szCs w:val="18"/>
              </w:rPr>
              <w:t>. Euros)</w:t>
            </w:r>
          </w:p>
        </w:tc>
        <w:tc>
          <w:tcPr>
            <w:tcW w:w="1189" w:type="dxa"/>
            <w:tcBorders>
              <w:top w:val="nil"/>
              <w:left w:val="single" w:sz="4" w:space="0" w:color="auto"/>
              <w:bottom w:val="nil"/>
              <w:right w:val="single" w:sz="4" w:space="0" w:color="auto"/>
            </w:tcBorders>
            <w:shd w:val="clear" w:color="auto" w:fill="auto"/>
            <w:noWrap/>
            <w:vAlign w:val="center"/>
          </w:tcPr>
          <w:p w:rsidR="00456761" w:rsidRPr="00456761" w:rsidRDefault="00456761" w:rsidP="00456761">
            <w:pPr>
              <w:spacing w:line="360" w:lineRule="auto"/>
              <w:jc w:val="right"/>
              <w:rPr>
                <w:rFonts w:ascii="Century Schoolbook" w:hAnsi="Century Schoolbook"/>
                <w:b/>
                <w:sz w:val="18"/>
                <w:szCs w:val="18"/>
              </w:rPr>
            </w:pPr>
            <w:r w:rsidRPr="00456761">
              <w:rPr>
                <w:rFonts w:ascii="Century Schoolbook" w:hAnsi="Century Schoolbook"/>
                <w:b/>
                <w:sz w:val="18"/>
                <w:szCs w:val="18"/>
              </w:rPr>
              <w:t>1.573,44</w:t>
            </w:r>
          </w:p>
        </w:tc>
        <w:tc>
          <w:tcPr>
            <w:tcW w:w="1843" w:type="dxa"/>
            <w:tcBorders>
              <w:top w:val="nil"/>
              <w:left w:val="single" w:sz="4" w:space="0" w:color="auto"/>
              <w:bottom w:val="nil"/>
              <w:right w:val="single" w:sz="4" w:space="0" w:color="auto"/>
            </w:tcBorders>
            <w:shd w:val="clear" w:color="auto" w:fill="auto"/>
            <w:noWrap/>
            <w:vAlign w:val="center"/>
          </w:tcPr>
          <w:p w:rsidR="00456761" w:rsidRPr="00456761" w:rsidRDefault="00456761" w:rsidP="00456761">
            <w:pPr>
              <w:spacing w:line="360" w:lineRule="auto"/>
              <w:rPr>
                <w:rFonts w:ascii="Century Schoolbook" w:hAnsi="Century Schoolbook"/>
                <w:sz w:val="18"/>
                <w:szCs w:val="18"/>
              </w:rPr>
            </w:pPr>
            <w:r w:rsidRPr="00456761">
              <w:rPr>
                <w:rFonts w:ascii="Century Schoolbook" w:hAnsi="Century Schoolbook"/>
                <w:sz w:val="18"/>
                <w:szCs w:val="18"/>
              </w:rPr>
              <w:t>3,7</w:t>
            </w:r>
          </w:p>
        </w:tc>
      </w:tr>
      <w:tr w:rsidR="00456761" w:rsidRPr="00456761" w:rsidTr="000E59CD">
        <w:trPr>
          <w:trHeight w:val="255"/>
          <w:jc w:val="center"/>
        </w:trPr>
        <w:tc>
          <w:tcPr>
            <w:tcW w:w="4551" w:type="dxa"/>
            <w:tcBorders>
              <w:top w:val="nil"/>
              <w:left w:val="single" w:sz="4" w:space="0" w:color="auto"/>
              <w:bottom w:val="nil"/>
              <w:right w:val="single" w:sz="4" w:space="0" w:color="auto"/>
            </w:tcBorders>
            <w:shd w:val="clear" w:color="auto" w:fill="auto"/>
            <w:vAlign w:val="bottom"/>
          </w:tcPr>
          <w:p w:rsidR="00456761" w:rsidRPr="00456761" w:rsidRDefault="00456761" w:rsidP="00456761">
            <w:pPr>
              <w:spacing w:line="360" w:lineRule="auto"/>
              <w:rPr>
                <w:rFonts w:ascii="Century Schoolbook" w:hAnsi="Century Schoolbook"/>
                <w:sz w:val="18"/>
                <w:szCs w:val="18"/>
              </w:rPr>
            </w:pPr>
            <w:r w:rsidRPr="00456761">
              <w:rPr>
                <w:rFonts w:ascii="Century Schoolbook" w:hAnsi="Century Schoolbook"/>
                <w:sz w:val="18"/>
                <w:szCs w:val="18"/>
                <w:lang w:val="es-ES_tradnl"/>
              </w:rPr>
              <w:t>Ejemplares vendidos (miles)</w:t>
            </w:r>
          </w:p>
        </w:tc>
        <w:tc>
          <w:tcPr>
            <w:tcW w:w="1189" w:type="dxa"/>
            <w:tcBorders>
              <w:top w:val="nil"/>
              <w:left w:val="single" w:sz="4" w:space="0" w:color="auto"/>
              <w:bottom w:val="nil"/>
              <w:right w:val="single" w:sz="4" w:space="0" w:color="auto"/>
            </w:tcBorders>
            <w:shd w:val="clear" w:color="auto" w:fill="auto"/>
            <w:noWrap/>
            <w:vAlign w:val="center"/>
          </w:tcPr>
          <w:p w:rsidR="00456761" w:rsidRPr="00456761" w:rsidRDefault="00456761" w:rsidP="00456761">
            <w:pPr>
              <w:spacing w:line="360" w:lineRule="auto"/>
              <w:jc w:val="right"/>
              <w:rPr>
                <w:rFonts w:ascii="Century Schoolbook" w:hAnsi="Century Schoolbook"/>
                <w:b/>
                <w:sz w:val="18"/>
                <w:szCs w:val="18"/>
              </w:rPr>
            </w:pPr>
            <w:r w:rsidRPr="00456761">
              <w:rPr>
                <w:rFonts w:ascii="Century Schoolbook" w:hAnsi="Century Schoolbook"/>
                <w:b/>
                <w:sz w:val="18"/>
                <w:szCs w:val="18"/>
              </w:rPr>
              <w:t>155.436</w:t>
            </w:r>
          </w:p>
        </w:tc>
        <w:tc>
          <w:tcPr>
            <w:tcW w:w="1843" w:type="dxa"/>
            <w:tcBorders>
              <w:top w:val="nil"/>
              <w:left w:val="single" w:sz="4" w:space="0" w:color="auto"/>
              <w:bottom w:val="nil"/>
              <w:right w:val="single" w:sz="4" w:space="0" w:color="auto"/>
            </w:tcBorders>
            <w:shd w:val="clear" w:color="auto" w:fill="auto"/>
            <w:noWrap/>
            <w:vAlign w:val="center"/>
          </w:tcPr>
          <w:p w:rsidR="00456761" w:rsidRPr="00456761" w:rsidRDefault="00456761" w:rsidP="00456761">
            <w:pPr>
              <w:spacing w:line="360" w:lineRule="auto"/>
              <w:rPr>
                <w:rFonts w:ascii="Century Schoolbook" w:hAnsi="Century Schoolbook"/>
                <w:sz w:val="18"/>
                <w:szCs w:val="18"/>
              </w:rPr>
            </w:pPr>
            <w:r w:rsidRPr="00456761">
              <w:rPr>
                <w:rFonts w:ascii="Century Schoolbook" w:hAnsi="Century Schoolbook"/>
                <w:sz w:val="18"/>
                <w:szCs w:val="18"/>
              </w:rPr>
              <w:t>1,2</w:t>
            </w:r>
          </w:p>
        </w:tc>
      </w:tr>
      <w:tr w:rsidR="00456761" w:rsidRPr="00456761" w:rsidTr="000E59CD">
        <w:trPr>
          <w:trHeight w:val="240"/>
          <w:jc w:val="center"/>
        </w:trPr>
        <w:tc>
          <w:tcPr>
            <w:tcW w:w="4551" w:type="dxa"/>
            <w:tcBorders>
              <w:top w:val="nil"/>
              <w:left w:val="single" w:sz="4" w:space="0" w:color="auto"/>
              <w:bottom w:val="single" w:sz="4" w:space="0" w:color="auto"/>
              <w:right w:val="single" w:sz="4" w:space="0" w:color="auto"/>
            </w:tcBorders>
            <w:shd w:val="clear" w:color="auto" w:fill="auto"/>
            <w:noWrap/>
            <w:vAlign w:val="bottom"/>
          </w:tcPr>
          <w:p w:rsidR="00456761" w:rsidRPr="00456761" w:rsidRDefault="00456761" w:rsidP="00456761">
            <w:pPr>
              <w:spacing w:line="360" w:lineRule="auto"/>
              <w:rPr>
                <w:rFonts w:ascii="Century Schoolbook" w:hAnsi="Century Schoolbook"/>
                <w:sz w:val="18"/>
                <w:szCs w:val="18"/>
              </w:rPr>
            </w:pPr>
            <w:r w:rsidRPr="00456761">
              <w:rPr>
                <w:rFonts w:ascii="Century Schoolbook" w:hAnsi="Century Schoolbook"/>
                <w:sz w:val="18"/>
                <w:szCs w:val="18"/>
              </w:rPr>
              <w:t xml:space="preserve">Precios medios </w:t>
            </w:r>
          </w:p>
        </w:tc>
        <w:tc>
          <w:tcPr>
            <w:tcW w:w="1189" w:type="dxa"/>
            <w:tcBorders>
              <w:top w:val="nil"/>
              <w:left w:val="single" w:sz="4" w:space="0" w:color="auto"/>
              <w:bottom w:val="single" w:sz="4" w:space="0" w:color="auto"/>
              <w:right w:val="single" w:sz="4" w:space="0" w:color="auto"/>
            </w:tcBorders>
            <w:shd w:val="clear" w:color="auto" w:fill="auto"/>
            <w:noWrap/>
            <w:vAlign w:val="center"/>
          </w:tcPr>
          <w:p w:rsidR="00456761" w:rsidRPr="00456761" w:rsidRDefault="00456761" w:rsidP="00456761">
            <w:pPr>
              <w:spacing w:line="360" w:lineRule="auto"/>
              <w:jc w:val="right"/>
              <w:rPr>
                <w:rFonts w:ascii="Century Schoolbook" w:hAnsi="Century Schoolbook"/>
                <w:b/>
                <w:sz w:val="18"/>
                <w:szCs w:val="18"/>
              </w:rPr>
            </w:pPr>
            <w:r w:rsidRPr="00456761">
              <w:rPr>
                <w:rFonts w:ascii="Century Schoolbook" w:hAnsi="Century Schoolbook"/>
                <w:b/>
                <w:sz w:val="18"/>
                <w:szCs w:val="18"/>
              </w:rPr>
              <w:t>14,52</w:t>
            </w:r>
          </w:p>
        </w:tc>
        <w:tc>
          <w:tcPr>
            <w:tcW w:w="1843" w:type="dxa"/>
            <w:tcBorders>
              <w:top w:val="nil"/>
              <w:left w:val="single" w:sz="4" w:space="0" w:color="auto"/>
              <w:bottom w:val="single" w:sz="4" w:space="0" w:color="auto"/>
              <w:right w:val="single" w:sz="4" w:space="0" w:color="auto"/>
            </w:tcBorders>
            <w:shd w:val="clear" w:color="auto" w:fill="auto"/>
            <w:noWrap/>
            <w:vAlign w:val="center"/>
          </w:tcPr>
          <w:p w:rsidR="00456761" w:rsidRPr="00456761" w:rsidRDefault="00456761" w:rsidP="00456761">
            <w:pPr>
              <w:spacing w:line="360" w:lineRule="auto"/>
              <w:rPr>
                <w:rFonts w:ascii="Century Schoolbook" w:hAnsi="Century Schoolbook"/>
                <w:sz w:val="18"/>
                <w:szCs w:val="18"/>
              </w:rPr>
            </w:pPr>
            <w:r w:rsidRPr="00456761">
              <w:rPr>
                <w:rFonts w:ascii="Century Schoolbook" w:hAnsi="Century Schoolbook"/>
                <w:sz w:val="18"/>
                <w:szCs w:val="18"/>
              </w:rPr>
              <w:t>1,6</w:t>
            </w:r>
          </w:p>
        </w:tc>
      </w:tr>
    </w:tbl>
    <w:p w:rsidR="00B1696B" w:rsidRPr="00456761" w:rsidRDefault="00B1696B" w:rsidP="00B1696B">
      <w:pPr>
        <w:pStyle w:val="Notaalpie"/>
        <w:spacing w:line="360" w:lineRule="auto"/>
        <w:rPr>
          <w:rFonts w:ascii="Century Schoolbook" w:hAnsi="Century Schoolbook"/>
          <w:color w:val="FF0000"/>
          <w:sz w:val="22"/>
          <w:szCs w:val="22"/>
        </w:rPr>
      </w:pPr>
    </w:p>
    <w:p w:rsidR="00B1696B" w:rsidRPr="00456761" w:rsidRDefault="00B1696B" w:rsidP="00B1696B">
      <w:pPr>
        <w:spacing w:line="360" w:lineRule="auto"/>
        <w:jc w:val="both"/>
        <w:rPr>
          <w:rFonts w:ascii="Century Schoolbook" w:hAnsi="Century Schoolbook"/>
        </w:rPr>
      </w:pPr>
      <w:r w:rsidRPr="00456761">
        <w:rPr>
          <w:rFonts w:ascii="Century Schoolbook" w:hAnsi="Century Schoolbook"/>
        </w:rPr>
        <w:t>Los datos obtenidos en 2015 parecen confirmar el cambio de tendencia observado en 2014 que anunciaba el inicio de la recuperación del sector editorial en España. En 2015 aumentó el número de empleos en el sector (un 1% más que en 2014).</w:t>
      </w:r>
    </w:p>
    <w:p w:rsidR="00B1696B" w:rsidRPr="00456761" w:rsidRDefault="00B1696B" w:rsidP="00B1696B">
      <w:pPr>
        <w:spacing w:line="360" w:lineRule="auto"/>
        <w:jc w:val="both"/>
        <w:rPr>
          <w:rFonts w:ascii="Century Schoolbook" w:hAnsi="Century Schoolbook"/>
        </w:rPr>
      </w:pPr>
      <w:r w:rsidRPr="00456761">
        <w:rPr>
          <w:rFonts w:ascii="Century Schoolbook" w:hAnsi="Century Schoolbook"/>
        </w:rPr>
        <w:lastRenderedPageBreak/>
        <w:t>A lo largo de 2015 se editaron 80.181 títulos (un 2,1% más que en 2014) y se produjeron 225.277.000 ejemplares (un 0,6% menos que en 2014), con una tirada media de 2.810 (un 2,7% menos que en 2014). Los ejemplares vendidos en este ejercicio han sido 155.436.000, lo que supone un incremento del 1,2% respecto a</w:t>
      </w:r>
      <w:r w:rsidR="000E59CD">
        <w:rPr>
          <w:rFonts w:ascii="Century Schoolbook" w:hAnsi="Century Schoolbook"/>
        </w:rPr>
        <w:t>l</w:t>
      </w:r>
      <w:r w:rsidRPr="00456761">
        <w:rPr>
          <w:rFonts w:ascii="Century Schoolbook" w:hAnsi="Century Schoolbook"/>
        </w:rPr>
        <w:t xml:space="preserve"> </w:t>
      </w:r>
      <w:r w:rsidR="000E59CD">
        <w:rPr>
          <w:rFonts w:ascii="Century Schoolbook" w:hAnsi="Century Schoolbook"/>
        </w:rPr>
        <w:t xml:space="preserve">año </w:t>
      </w:r>
      <w:r w:rsidRPr="00456761">
        <w:rPr>
          <w:rFonts w:ascii="Century Schoolbook" w:hAnsi="Century Schoolbook"/>
        </w:rPr>
        <w:t>2014. El porcentaje de libros vendidos sobre libros producidos se sitúa en un 69%, casi 7 puntos más que en 2014 (62,4%).</w:t>
      </w:r>
    </w:p>
    <w:p w:rsidR="00B1696B" w:rsidRPr="00456761" w:rsidRDefault="00B1696B" w:rsidP="00B1696B">
      <w:pPr>
        <w:spacing w:line="360" w:lineRule="auto"/>
        <w:jc w:val="both"/>
        <w:rPr>
          <w:rFonts w:ascii="Century Schoolbook" w:hAnsi="Century Schoolbook"/>
        </w:rPr>
      </w:pPr>
    </w:p>
    <w:p w:rsidR="00B1696B" w:rsidRDefault="000E59CD" w:rsidP="00B1696B">
      <w:pPr>
        <w:spacing w:line="360" w:lineRule="auto"/>
        <w:jc w:val="both"/>
        <w:rPr>
          <w:rFonts w:ascii="Century Schoolbook" w:hAnsi="Century Schoolbook"/>
        </w:rPr>
      </w:pPr>
      <w:r>
        <w:rPr>
          <w:rFonts w:ascii="Century Schoolbook" w:hAnsi="Century Schoolbook"/>
        </w:rPr>
        <w:t>Asimismo, e</w:t>
      </w:r>
      <w:r w:rsidR="00B1696B" w:rsidRPr="00456761">
        <w:rPr>
          <w:rFonts w:ascii="Century Schoolbook" w:hAnsi="Century Schoolbook"/>
        </w:rPr>
        <w:t>l sector editorial incrementó su facturación hasta los 2.257 millones de euros</w:t>
      </w:r>
      <w:r>
        <w:rPr>
          <w:rFonts w:ascii="Century Schoolbook" w:hAnsi="Century Schoolbook"/>
        </w:rPr>
        <w:t xml:space="preserve"> y e</w:t>
      </w:r>
      <w:r w:rsidR="00B1696B" w:rsidRPr="00456761">
        <w:rPr>
          <w:rFonts w:ascii="Century Schoolbook" w:hAnsi="Century Schoolbook"/>
        </w:rPr>
        <w:t>l precio medio del ejemplar se situó en 14,52 euros, frente a los 14,29 de 2014.</w:t>
      </w:r>
    </w:p>
    <w:p w:rsidR="000E59CD" w:rsidRPr="00456761" w:rsidRDefault="000E59CD" w:rsidP="00B1696B">
      <w:pPr>
        <w:spacing w:line="360" w:lineRule="auto"/>
        <w:jc w:val="both"/>
        <w:rPr>
          <w:rFonts w:ascii="Century Schoolbook" w:hAnsi="Century Schoolbook"/>
        </w:rPr>
      </w:pPr>
    </w:p>
    <w:p w:rsidR="00AB4875" w:rsidRPr="00456761" w:rsidRDefault="00AB4875" w:rsidP="00AB4875">
      <w:pPr>
        <w:spacing w:line="360" w:lineRule="auto"/>
        <w:jc w:val="both"/>
        <w:rPr>
          <w:rFonts w:ascii="Century Schoolbook" w:hAnsi="Century Schoolbook"/>
        </w:rPr>
      </w:pPr>
      <w:r w:rsidRPr="00456761">
        <w:rPr>
          <w:rFonts w:ascii="Century Schoolbook" w:hAnsi="Century Schoolbook"/>
        </w:rPr>
        <w:t>Por gremios, Madrid</w:t>
      </w:r>
      <w:r w:rsidR="00E62CC9">
        <w:rPr>
          <w:rFonts w:ascii="Century Schoolbook" w:hAnsi="Century Schoolbook"/>
        </w:rPr>
        <w:t>,</w:t>
      </w:r>
      <w:r w:rsidRPr="00456761">
        <w:rPr>
          <w:rFonts w:ascii="Century Schoolbook" w:hAnsi="Century Schoolbook"/>
        </w:rPr>
        <w:t xml:space="preserve"> con un 43,4%</w:t>
      </w:r>
      <w:r w:rsidR="00E62CC9">
        <w:rPr>
          <w:rFonts w:ascii="Century Schoolbook" w:hAnsi="Century Schoolbook"/>
        </w:rPr>
        <w:t>,</w:t>
      </w:r>
      <w:r w:rsidRPr="00456761">
        <w:rPr>
          <w:rFonts w:ascii="Century Schoolbook" w:hAnsi="Century Schoolbook"/>
        </w:rPr>
        <w:t xml:space="preserve"> y Cataluña</w:t>
      </w:r>
      <w:r w:rsidR="00E62CC9">
        <w:rPr>
          <w:rFonts w:ascii="Century Schoolbook" w:hAnsi="Century Schoolbook"/>
        </w:rPr>
        <w:t>,</w:t>
      </w:r>
      <w:r w:rsidRPr="00456761">
        <w:rPr>
          <w:rFonts w:ascii="Century Schoolbook" w:hAnsi="Century Schoolbook"/>
        </w:rPr>
        <w:t xml:space="preserve"> con el 49,5%</w:t>
      </w:r>
      <w:r w:rsidR="00E62CC9">
        <w:rPr>
          <w:rFonts w:ascii="Century Schoolbook" w:hAnsi="Century Schoolbook"/>
        </w:rPr>
        <w:t>,</w:t>
      </w:r>
      <w:r w:rsidRPr="00456761">
        <w:rPr>
          <w:rFonts w:ascii="Century Schoolbook" w:hAnsi="Century Schoolbook"/>
        </w:rPr>
        <w:t xml:space="preserve"> suman conjuntamente el 92,9% de la facturación global (91,5% en 2014).</w:t>
      </w:r>
    </w:p>
    <w:p w:rsidR="00AB4875" w:rsidRDefault="00AB4875" w:rsidP="00B1696B">
      <w:pPr>
        <w:spacing w:line="360" w:lineRule="auto"/>
        <w:jc w:val="both"/>
        <w:rPr>
          <w:rFonts w:ascii="Century Schoolbook" w:hAnsi="Century Schoolbook"/>
        </w:rPr>
      </w:pPr>
    </w:p>
    <w:p w:rsidR="00B1696B" w:rsidRPr="00456761" w:rsidRDefault="00B1696B" w:rsidP="00B1696B">
      <w:pPr>
        <w:spacing w:line="360" w:lineRule="auto"/>
        <w:jc w:val="both"/>
        <w:rPr>
          <w:rFonts w:ascii="Century Schoolbook" w:hAnsi="Century Schoolbook"/>
        </w:rPr>
      </w:pPr>
      <w:r w:rsidRPr="00456761">
        <w:rPr>
          <w:rFonts w:ascii="Century Schoolbook" w:hAnsi="Century Schoolbook"/>
        </w:rPr>
        <w:t>Por materias, el Texto no universitario sigue a la cabeza y acumula el 36,8% de la facturación total, ligeramente por encima de la cifra registrada en 2014, cuando alcanzó el 34,1%. La segunda materia que obtiene mayor cuota de facturación es Literatura, con un 19,5% del total (20,4% en 2014), seguida de Infantil y juvenil con un 11,5% (1 punto menos que en 2014) y Ciencias sociales y Humanidades con un</w:t>
      </w:r>
      <w:r w:rsidR="00AB4875">
        <w:rPr>
          <w:rFonts w:ascii="Century Schoolbook" w:hAnsi="Century Schoolbook"/>
        </w:rPr>
        <w:t xml:space="preserve"> </w:t>
      </w:r>
      <w:r w:rsidRPr="00456761">
        <w:rPr>
          <w:rFonts w:ascii="Century Schoolbook" w:hAnsi="Century Schoolbook"/>
        </w:rPr>
        <w:t xml:space="preserve">10,5% (10,8% en 2014). La suma de estas 4 materias alcanza el 78,3% del total de facturación en 2015, prácticamente la misma cifra que alcanzó en 2014 (77,8%). </w:t>
      </w:r>
    </w:p>
    <w:p w:rsidR="00B1696B" w:rsidRPr="00456761" w:rsidRDefault="00B1696B" w:rsidP="00B1696B">
      <w:pPr>
        <w:pStyle w:val="Prrafodelista"/>
        <w:spacing w:after="0" w:line="360" w:lineRule="auto"/>
        <w:rPr>
          <w:rFonts w:ascii="Century Schoolbook" w:hAnsi="Century Schoolbook"/>
        </w:rPr>
      </w:pPr>
    </w:p>
    <w:p w:rsidR="00B1696B" w:rsidRDefault="00B1696B" w:rsidP="00B1696B">
      <w:pPr>
        <w:pStyle w:val="Prrafodelista"/>
        <w:numPr>
          <w:ilvl w:val="0"/>
          <w:numId w:val="1"/>
        </w:numPr>
        <w:spacing w:after="0" w:line="360" w:lineRule="auto"/>
        <w:rPr>
          <w:rFonts w:ascii="Century Schoolbook" w:hAnsi="Century Schoolbook"/>
          <w:sz w:val="24"/>
          <w:szCs w:val="24"/>
        </w:rPr>
      </w:pPr>
      <w:r w:rsidRPr="00AB4875">
        <w:rPr>
          <w:rFonts w:ascii="Century Schoolbook" w:hAnsi="Century Schoolbook"/>
          <w:sz w:val="24"/>
          <w:szCs w:val="24"/>
        </w:rPr>
        <w:t xml:space="preserve">Los libros de Texto no universitario han aumentado 10,9% su facturación con respecto a 2014, con 830,31 millones de euros facturados. </w:t>
      </w:r>
    </w:p>
    <w:p w:rsidR="000241CF" w:rsidRPr="00AB4875" w:rsidRDefault="000241CF" w:rsidP="000241CF">
      <w:pPr>
        <w:pStyle w:val="Prrafodelista"/>
        <w:spacing w:after="0" w:line="360" w:lineRule="auto"/>
        <w:rPr>
          <w:rFonts w:ascii="Century Schoolbook" w:hAnsi="Century Schoolbook"/>
          <w:sz w:val="24"/>
          <w:szCs w:val="24"/>
        </w:rPr>
      </w:pPr>
    </w:p>
    <w:p w:rsidR="00B1696B" w:rsidRDefault="00B1696B" w:rsidP="00B1696B">
      <w:pPr>
        <w:pStyle w:val="Prrafodelista"/>
        <w:numPr>
          <w:ilvl w:val="0"/>
          <w:numId w:val="1"/>
        </w:numPr>
        <w:spacing w:after="0" w:line="360" w:lineRule="auto"/>
        <w:ind w:left="708"/>
        <w:rPr>
          <w:rFonts w:ascii="Century Schoolbook" w:hAnsi="Century Schoolbook"/>
          <w:sz w:val="24"/>
          <w:szCs w:val="24"/>
        </w:rPr>
      </w:pPr>
      <w:r w:rsidRPr="00456761">
        <w:rPr>
          <w:rFonts w:ascii="Century Schoolbook" w:hAnsi="Century Schoolbook"/>
          <w:sz w:val="24"/>
          <w:szCs w:val="24"/>
        </w:rPr>
        <w:t xml:space="preserve">La cifra de facturación para la materia Literatura en 2015 ha sido de 441,00 millones de euros, de los cuáles el 21,4% (94,57 millones de euros) se genera a través de la venta de libros de bolsillo. Dentro de la materia Literatura, el género novela genera el 90,57% de la facturación </w:t>
      </w:r>
      <w:r w:rsidRPr="00456761">
        <w:rPr>
          <w:rFonts w:ascii="Century Schoolbook" w:hAnsi="Century Schoolbook"/>
          <w:sz w:val="24"/>
          <w:szCs w:val="24"/>
        </w:rPr>
        <w:lastRenderedPageBreak/>
        <w:t xml:space="preserve">y vende el 87,7% de los ejemplares. A su vez, la Novela Contemporánea representa el 56,7% de la facturación de Novela. </w:t>
      </w:r>
    </w:p>
    <w:p w:rsidR="000241CF" w:rsidRPr="000241CF" w:rsidRDefault="000241CF" w:rsidP="000241CF">
      <w:pPr>
        <w:pStyle w:val="Prrafodelista"/>
        <w:rPr>
          <w:rFonts w:ascii="Century Schoolbook" w:hAnsi="Century Schoolbook"/>
          <w:sz w:val="24"/>
          <w:szCs w:val="24"/>
        </w:rPr>
      </w:pPr>
    </w:p>
    <w:p w:rsidR="00B1696B" w:rsidRDefault="00B1696B" w:rsidP="00B1696B">
      <w:pPr>
        <w:pStyle w:val="Prrafodelista"/>
        <w:numPr>
          <w:ilvl w:val="0"/>
          <w:numId w:val="1"/>
        </w:numPr>
        <w:spacing w:after="0" w:line="360" w:lineRule="auto"/>
        <w:rPr>
          <w:rFonts w:ascii="Century Schoolbook" w:hAnsi="Century Schoolbook"/>
          <w:sz w:val="24"/>
          <w:szCs w:val="24"/>
        </w:rPr>
      </w:pPr>
      <w:r w:rsidRPr="000241CF">
        <w:rPr>
          <w:rFonts w:ascii="Century Schoolbook" w:hAnsi="Century Schoolbook"/>
          <w:sz w:val="24"/>
          <w:szCs w:val="24"/>
        </w:rPr>
        <w:t xml:space="preserve">La materia Infantil y juvenil registra en 2015 un descenso en su facturación del 5,9%, con una cifra total de 258,82 millones. </w:t>
      </w:r>
    </w:p>
    <w:p w:rsidR="000241CF" w:rsidRPr="000241CF" w:rsidRDefault="000241CF" w:rsidP="000241CF">
      <w:pPr>
        <w:pStyle w:val="Prrafodelista"/>
        <w:rPr>
          <w:rFonts w:ascii="Century Schoolbook" w:hAnsi="Century Schoolbook"/>
          <w:sz w:val="24"/>
          <w:szCs w:val="24"/>
        </w:rPr>
      </w:pPr>
    </w:p>
    <w:p w:rsidR="00B1696B" w:rsidRDefault="00B1696B" w:rsidP="00B1696B">
      <w:pPr>
        <w:pStyle w:val="Prrafodelista"/>
        <w:numPr>
          <w:ilvl w:val="0"/>
          <w:numId w:val="1"/>
        </w:numPr>
        <w:spacing w:after="0" w:line="360" w:lineRule="auto"/>
        <w:rPr>
          <w:rFonts w:ascii="Century Schoolbook" w:hAnsi="Century Schoolbook"/>
          <w:sz w:val="24"/>
          <w:szCs w:val="24"/>
        </w:rPr>
      </w:pPr>
      <w:r w:rsidRPr="000241CF">
        <w:rPr>
          <w:rFonts w:ascii="Century Schoolbook" w:hAnsi="Century Schoolbook"/>
          <w:sz w:val="24"/>
          <w:szCs w:val="24"/>
        </w:rPr>
        <w:t xml:space="preserve">Los libros de texto no universitario aumentan un 10,9% su facturación con respecto a 2014, con 830,31 millones de euros facturados. </w:t>
      </w:r>
    </w:p>
    <w:p w:rsidR="000241CF" w:rsidRPr="000241CF" w:rsidRDefault="000241CF" w:rsidP="000241CF">
      <w:pPr>
        <w:pStyle w:val="Prrafodelista"/>
        <w:rPr>
          <w:rFonts w:ascii="Century Schoolbook" w:hAnsi="Century Schoolbook"/>
          <w:sz w:val="24"/>
          <w:szCs w:val="24"/>
        </w:rPr>
      </w:pPr>
    </w:p>
    <w:p w:rsidR="00B1696B" w:rsidRPr="00456761" w:rsidRDefault="00B1696B" w:rsidP="00B1696B">
      <w:pPr>
        <w:pStyle w:val="Prrafodelista"/>
        <w:numPr>
          <w:ilvl w:val="0"/>
          <w:numId w:val="1"/>
        </w:numPr>
        <w:spacing w:after="0" w:line="360" w:lineRule="auto"/>
        <w:rPr>
          <w:rFonts w:ascii="Century Schoolbook" w:hAnsi="Century Schoolbook"/>
          <w:sz w:val="24"/>
          <w:szCs w:val="24"/>
        </w:rPr>
      </w:pPr>
      <w:r w:rsidRPr="00456761">
        <w:rPr>
          <w:rFonts w:ascii="Century Schoolbook" w:hAnsi="Century Schoolbook"/>
          <w:sz w:val="24"/>
          <w:szCs w:val="24"/>
        </w:rPr>
        <w:t xml:space="preserve">Por la materia agrupada de Ciencias sociales y Humanidades se han facturado 237,51 millones de euros, un 10,5% más que en el ejercicio anterior. </w:t>
      </w:r>
    </w:p>
    <w:p w:rsidR="00B1696B" w:rsidRPr="00456761" w:rsidRDefault="00B1696B" w:rsidP="00B1696B">
      <w:pPr>
        <w:pStyle w:val="Prrafodelista"/>
        <w:rPr>
          <w:rFonts w:ascii="Century Schoolbook" w:hAnsi="Century Schoolbook"/>
          <w:sz w:val="24"/>
          <w:szCs w:val="24"/>
        </w:rPr>
      </w:pPr>
    </w:p>
    <w:p w:rsidR="000241CF" w:rsidRDefault="00B1696B" w:rsidP="00B1696B">
      <w:pPr>
        <w:pStyle w:val="Prrafodelista"/>
        <w:numPr>
          <w:ilvl w:val="0"/>
          <w:numId w:val="1"/>
        </w:numPr>
        <w:spacing w:after="0" w:line="360" w:lineRule="auto"/>
        <w:rPr>
          <w:rFonts w:ascii="Century Schoolbook" w:hAnsi="Century Schoolbook"/>
          <w:sz w:val="24"/>
          <w:szCs w:val="24"/>
        </w:rPr>
      </w:pPr>
      <w:r w:rsidRPr="00456761">
        <w:rPr>
          <w:rFonts w:ascii="Century Schoolbook" w:hAnsi="Century Schoolbook"/>
          <w:sz w:val="24"/>
          <w:szCs w:val="24"/>
        </w:rPr>
        <w:t xml:space="preserve">Científico técnico y universitario produce una cifra de negocio de 95,34 millones de </w:t>
      </w:r>
      <w:r w:rsidR="000241CF">
        <w:rPr>
          <w:rFonts w:ascii="Century Schoolbook" w:hAnsi="Century Schoolbook"/>
          <w:sz w:val="24"/>
          <w:szCs w:val="24"/>
        </w:rPr>
        <w:t>euros, un 16,5% más que en 2014.</w:t>
      </w:r>
    </w:p>
    <w:p w:rsidR="00B1696B" w:rsidRPr="00456761" w:rsidRDefault="00B1696B" w:rsidP="00B1696B">
      <w:pPr>
        <w:pStyle w:val="Prrafodelista"/>
        <w:rPr>
          <w:rFonts w:ascii="Century Schoolbook" w:hAnsi="Century Schoolbook"/>
          <w:sz w:val="24"/>
          <w:szCs w:val="24"/>
        </w:rPr>
      </w:pPr>
    </w:p>
    <w:p w:rsidR="000241CF" w:rsidRDefault="00B1696B" w:rsidP="00B1696B">
      <w:pPr>
        <w:pStyle w:val="Prrafodelista"/>
        <w:numPr>
          <w:ilvl w:val="0"/>
          <w:numId w:val="1"/>
        </w:numPr>
        <w:spacing w:after="0" w:line="360" w:lineRule="auto"/>
        <w:rPr>
          <w:rFonts w:ascii="Century Schoolbook" w:hAnsi="Century Schoolbook"/>
          <w:sz w:val="24"/>
          <w:szCs w:val="24"/>
        </w:rPr>
      </w:pPr>
      <w:r w:rsidRPr="00456761">
        <w:rPr>
          <w:rFonts w:ascii="Century Schoolbook" w:hAnsi="Century Schoolbook"/>
          <w:sz w:val="24"/>
          <w:szCs w:val="24"/>
        </w:rPr>
        <w:t>Los Libros prácticos, con 133,5 millones de euros facturados, disminuyen su facturación un 8,8%</w:t>
      </w:r>
      <w:r w:rsidR="000241CF">
        <w:rPr>
          <w:rFonts w:ascii="Century Schoolbook" w:hAnsi="Century Schoolbook"/>
          <w:sz w:val="24"/>
          <w:szCs w:val="24"/>
        </w:rPr>
        <w:t xml:space="preserve"> respecto al ejercicio anterior.</w:t>
      </w:r>
    </w:p>
    <w:p w:rsidR="000241CF" w:rsidRPr="000241CF" w:rsidRDefault="000241CF" w:rsidP="000241CF">
      <w:pPr>
        <w:pStyle w:val="Prrafodelista"/>
        <w:rPr>
          <w:rFonts w:ascii="Century Schoolbook" w:hAnsi="Century Schoolbook"/>
          <w:sz w:val="24"/>
          <w:szCs w:val="24"/>
        </w:rPr>
      </w:pPr>
    </w:p>
    <w:p w:rsidR="000241CF" w:rsidRDefault="00B1696B" w:rsidP="00B1696B">
      <w:pPr>
        <w:pStyle w:val="Prrafodelista"/>
        <w:numPr>
          <w:ilvl w:val="0"/>
          <w:numId w:val="1"/>
        </w:numPr>
        <w:spacing w:after="0" w:line="360" w:lineRule="auto"/>
        <w:rPr>
          <w:rFonts w:ascii="Century Schoolbook" w:hAnsi="Century Schoolbook"/>
          <w:sz w:val="24"/>
          <w:szCs w:val="24"/>
        </w:rPr>
      </w:pPr>
      <w:r w:rsidRPr="00456761">
        <w:rPr>
          <w:rFonts w:ascii="Century Schoolbook" w:hAnsi="Century Schoolbook"/>
          <w:sz w:val="24"/>
          <w:szCs w:val="24"/>
        </w:rPr>
        <w:t>Divulgación general factura un total de 134,72 millones de euros en 2015, un 1,0% menos que en el año anterior</w:t>
      </w:r>
      <w:r w:rsidR="000241CF">
        <w:rPr>
          <w:rFonts w:ascii="Century Schoolbook" w:hAnsi="Century Schoolbook"/>
          <w:sz w:val="24"/>
          <w:szCs w:val="24"/>
        </w:rPr>
        <w:t>.</w:t>
      </w:r>
    </w:p>
    <w:p w:rsidR="000241CF" w:rsidRPr="000241CF" w:rsidRDefault="000241CF" w:rsidP="000241CF">
      <w:pPr>
        <w:pStyle w:val="Prrafodelista"/>
        <w:rPr>
          <w:rFonts w:ascii="Century Schoolbook" w:hAnsi="Century Schoolbook"/>
          <w:sz w:val="24"/>
          <w:szCs w:val="24"/>
        </w:rPr>
      </w:pPr>
    </w:p>
    <w:p w:rsidR="00B1696B" w:rsidRDefault="00B1696B" w:rsidP="00B1696B">
      <w:pPr>
        <w:pStyle w:val="Prrafodelista"/>
        <w:numPr>
          <w:ilvl w:val="0"/>
          <w:numId w:val="1"/>
        </w:numPr>
        <w:spacing w:after="0" w:line="360" w:lineRule="auto"/>
        <w:rPr>
          <w:rFonts w:ascii="Century Schoolbook" w:hAnsi="Century Schoolbook"/>
          <w:sz w:val="24"/>
          <w:szCs w:val="24"/>
        </w:rPr>
      </w:pPr>
      <w:r w:rsidRPr="000241CF">
        <w:rPr>
          <w:rFonts w:ascii="Century Schoolbook" w:hAnsi="Century Schoolbook"/>
          <w:sz w:val="24"/>
          <w:szCs w:val="24"/>
        </w:rPr>
        <w:t xml:space="preserve"> Los Diccionarios y enciclopedias, con 40,92 millones de euros facturados (un 0,3% menos que el año anterior). </w:t>
      </w:r>
    </w:p>
    <w:p w:rsidR="000241CF" w:rsidRPr="000241CF" w:rsidRDefault="000241CF" w:rsidP="000241CF">
      <w:pPr>
        <w:pStyle w:val="Prrafodelista"/>
        <w:rPr>
          <w:rFonts w:ascii="Century Schoolbook" w:hAnsi="Century Schoolbook"/>
          <w:sz w:val="24"/>
          <w:szCs w:val="24"/>
        </w:rPr>
      </w:pPr>
    </w:p>
    <w:p w:rsidR="00B1696B" w:rsidRPr="00456761" w:rsidRDefault="00B1696B" w:rsidP="00B1696B">
      <w:pPr>
        <w:pStyle w:val="Prrafodelista"/>
        <w:numPr>
          <w:ilvl w:val="0"/>
          <w:numId w:val="1"/>
        </w:numPr>
        <w:spacing w:after="0" w:line="360" w:lineRule="auto"/>
        <w:rPr>
          <w:rFonts w:ascii="Century Schoolbook" w:hAnsi="Century Schoolbook"/>
          <w:sz w:val="24"/>
          <w:szCs w:val="24"/>
        </w:rPr>
      </w:pPr>
      <w:r w:rsidRPr="00456761">
        <w:rPr>
          <w:rFonts w:ascii="Century Schoolbook" w:hAnsi="Century Schoolbook"/>
          <w:sz w:val="24"/>
          <w:szCs w:val="24"/>
        </w:rPr>
        <w:t xml:space="preserve">Por la materia de Cómics se facturan 60,68 millones de euros, un 3,2% más que en 2014. </w:t>
      </w:r>
    </w:p>
    <w:p w:rsidR="00B1696B" w:rsidRPr="00456761" w:rsidRDefault="00B1696B" w:rsidP="00B1696B">
      <w:pPr>
        <w:spacing w:line="360" w:lineRule="auto"/>
        <w:rPr>
          <w:rFonts w:ascii="Century Schoolbook" w:hAnsi="Century Schoolbook"/>
          <w:color w:val="FF0000"/>
        </w:rPr>
      </w:pPr>
    </w:p>
    <w:p w:rsidR="00B1696B" w:rsidRPr="00456761" w:rsidRDefault="00B1696B" w:rsidP="00B1696B">
      <w:pPr>
        <w:spacing w:line="360" w:lineRule="auto"/>
        <w:rPr>
          <w:rFonts w:ascii="Century Schoolbook" w:hAnsi="Century Schoolbook"/>
        </w:rPr>
      </w:pPr>
      <w:r w:rsidRPr="00456761">
        <w:rPr>
          <w:rFonts w:ascii="Century Schoolbook" w:hAnsi="Century Schoolbook"/>
        </w:rPr>
        <w:t>En cuanto a los canales de comercialización de los libros:</w:t>
      </w:r>
    </w:p>
    <w:p w:rsidR="00B1696B" w:rsidRPr="00456761" w:rsidRDefault="00B1696B" w:rsidP="00B1696B">
      <w:pPr>
        <w:spacing w:line="360" w:lineRule="auto"/>
        <w:rPr>
          <w:rFonts w:ascii="Century Schoolbook" w:hAnsi="Century Schoolbook"/>
        </w:rPr>
      </w:pPr>
    </w:p>
    <w:p w:rsidR="00B1696B" w:rsidRDefault="00B1696B" w:rsidP="00B1696B">
      <w:pPr>
        <w:pStyle w:val="Prrafodelista"/>
        <w:numPr>
          <w:ilvl w:val="0"/>
          <w:numId w:val="2"/>
        </w:numPr>
        <w:spacing w:after="0" w:line="360" w:lineRule="auto"/>
        <w:rPr>
          <w:rFonts w:ascii="Century Schoolbook" w:hAnsi="Century Schoolbook"/>
          <w:sz w:val="24"/>
          <w:szCs w:val="24"/>
        </w:rPr>
      </w:pPr>
      <w:r w:rsidRPr="00456761">
        <w:rPr>
          <w:rFonts w:ascii="Century Schoolbook" w:hAnsi="Century Schoolbook"/>
          <w:sz w:val="24"/>
          <w:szCs w:val="24"/>
        </w:rPr>
        <w:t>Librerías y Cadenas de Librerías, que canalizan más de la mitad de la facturación global (el 52,6%), continúan siendo los principales canales de venta de libros.</w:t>
      </w:r>
    </w:p>
    <w:p w:rsidR="000241CF" w:rsidRDefault="000241CF" w:rsidP="000241CF">
      <w:pPr>
        <w:pStyle w:val="Prrafodelista"/>
        <w:spacing w:after="0" w:line="360" w:lineRule="auto"/>
        <w:rPr>
          <w:rFonts w:ascii="Century Schoolbook" w:hAnsi="Century Schoolbook"/>
          <w:sz w:val="24"/>
          <w:szCs w:val="24"/>
        </w:rPr>
      </w:pPr>
    </w:p>
    <w:p w:rsidR="00B1696B" w:rsidRDefault="00B1696B" w:rsidP="000241CF">
      <w:pPr>
        <w:pStyle w:val="Prrafodelista"/>
        <w:numPr>
          <w:ilvl w:val="0"/>
          <w:numId w:val="4"/>
        </w:numPr>
        <w:spacing w:after="0" w:line="360" w:lineRule="auto"/>
        <w:rPr>
          <w:rFonts w:ascii="Century Schoolbook" w:hAnsi="Century Schoolbook"/>
          <w:sz w:val="24"/>
          <w:szCs w:val="24"/>
        </w:rPr>
      </w:pPr>
      <w:r w:rsidRPr="000241CF">
        <w:rPr>
          <w:rFonts w:ascii="Century Schoolbook" w:hAnsi="Century Schoolbook"/>
          <w:sz w:val="24"/>
          <w:szCs w:val="24"/>
        </w:rPr>
        <w:lastRenderedPageBreak/>
        <w:t>Las Librerías, con una cifra de facturación de 788,37 millones de euros, aumentan un 7,1% respecto al año anterior</w:t>
      </w:r>
      <w:r w:rsidR="000241CF">
        <w:rPr>
          <w:rFonts w:ascii="Century Schoolbook" w:hAnsi="Century Schoolbook"/>
          <w:sz w:val="24"/>
          <w:szCs w:val="24"/>
        </w:rPr>
        <w:t>.</w:t>
      </w:r>
    </w:p>
    <w:p w:rsidR="00B1696B" w:rsidRPr="000241CF" w:rsidRDefault="00B1696B" w:rsidP="000241CF">
      <w:pPr>
        <w:pStyle w:val="Prrafodelista"/>
        <w:numPr>
          <w:ilvl w:val="0"/>
          <w:numId w:val="4"/>
        </w:numPr>
        <w:spacing w:after="0" w:line="360" w:lineRule="auto"/>
        <w:rPr>
          <w:rFonts w:ascii="Century Schoolbook" w:hAnsi="Century Schoolbook"/>
          <w:sz w:val="24"/>
          <w:szCs w:val="24"/>
        </w:rPr>
      </w:pPr>
      <w:r w:rsidRPr="000241CF">
        <w:rPr>
          <w:rFonts w:ascii="Century Schoolbook" w:hAnsi="Century Schoolbook"/>
          <w:sz w:val="24"/>
          <w:szCs w:val="24"/>
        </w:rPr>
        <w:t>Las Cadenas de Librerías facturan 398,88 millones, un 9,2% más que en 2014.</w:t>
      </w:r>
    </w:p>
    <w:p w:rsidR="00B1696B" w:rsidRPr="00456761" w:rsidRDefault="00B1696B" w:rsidP="00B1696B">
      <w:pPr>
        <w:pStyle w:val="Prrafodelista"/>
        <w:spacing w:after="0" w:line="360" w:lineRule="auto"/>
        <w:ind w:left="1440"/>
        <w:rPr>
          <w:rFonts w:ascii="Century Schoolbook" w:hAnsi="Century Schoolbook"/>
          <w:sz w:val="24"/>
          <w:szCs w:val="24"/>
        </w:rPr>
      </w:pPr>
    </w:p>
    <w:p w:rsidR="00B1696B" w:rsidRPr="000241CF" w:rsidRDefault="00B1696B" w:rsidP="00B1696B">
      <w:pPr>
        <w:pStyle w:val="Prrafodelista"/>
        <w:numPr>
          <w:ilvl w:val="0"/>
          <w:numId w:val="2"/>
        </w:numPr>
        <w:spacing w:after="0" w:line="360" w:lineRule="auto"/>
        <w:rPr>
          <w:rFonts w:ascii="Century Schoolbook" w:hAnsi="Century Schoolbook"/>
          <w:color w:val="FF0000"/>
          <w:sz w:val="24"/>
          <w:szCs w:val="24"/>
        </w:rPr>
      </w:pPr>
      <w:r w:rsidRPr="000241CF">
        <w:rPr>
          <w:rFonts w:ascii="Century Schoolbook" w:hAnsi="Century Schoolbook"/>
          <w:sz w:val="24"/>
          <w:szCs w:val="24"/>
        </w:rPr>
        <w:t xml:space="preserve">A través de los Hipermercados se venden libros por un valor de 182,91 millones de euros, un 1,5% menos que en 2014. </w:t>
      </w:r>
    </w:p>
    <w:p w:rsidR="000241CF" w:rsidRPr="000241CF" w:rsidRDefault="000241CF" w:rsidP="000241CF">
      <w:pPr>
        <w:pStyle w:val="Prrafodelista"/>
        <w:spacing w:after="0" w:line="360" w:lineRule="auto"/>
        <w:rPr>
          <w:rFonts w:ascii="Century Schoolbook" w:hAnsi="Century Schoolbook"/>
          <w:color w:val="FF0000"/>
          <w:sz w:val="24"/>
          <w:szCs w:val="24"/>
        </w:rPr>
      </w:pPr>
    </w:p>
    <w:p w:rsidR="00B1696B" w:rsidRPr="00456761" w:rsidRDefault="00B1696B" w:rsidP="00B1696B">
      <w:pPr>
        <w:pStyle w:val="Prrafodelista"/>
        <w:numPr>
          <w:ilvl w:val="0"/>
          <w:numId w:val="2"/>
        </w:numPr>
        <w:spacing w:after="0" w:line="360" w:lineRule="auto"/>
        <w:rPr>
          <w:rFonts w:ascii="Century Schoolbook" w:hAnsi="Century Schoolbook"/>
          <w:sz w:val="24"/>
          <w:szCs w:val="24"/>
        </w:rPr>
      </w:pPr>
      <w:r w:rsidRPr="00456761">
        <w:rPr>
          <w:rFonts w:ascii="Century Schoolbook" w:hAnsi="Century Schoolbook"/>
        </w:rPr>
        <w:t xml:space="preserve">La </w:t>
      </w:r>
      <w:r w:rsidRPr="00456761">
        <w:rPr>
          <w:rFonts w:ascii="Century Schoolbook" w:hAnsi="Century Schoolbook"/>
          <w:sz w:val="24"/>
          <w:szCs w:val="24"/>
        </w:rPr>
        <w:t>suma de estos tres canales minoristas, Librerías, Cadenas de Librerías e Hipermercados, reflejan que sus ventas han aum</w:t>
      </w:r>
      <w:r w:rsidR="000241CF">
        <w:rPr>
          <w:rFonts w:ascii="Century Schoolbook" w:hAnsi="Century Schoolbook"/>
          <w:sz w:val="24"/>
          <w:szCs w:val="24"/>
        </w:rPr>
        <w:t>entado un 6,5% en el último año.</w:t>
      </w:r>
    </w:p>
    <w:p w:rsidR="00B1696B" w:rsidRPr="00456761" w:rsidRDefault="00B1696B" w:rsidP="00B1696B">
      <w:pPr>
        <w:pStyle w:val="Prrafodelista"/>
        <w:rPr>
          <w:rFonts w:ascii="Century Schoolbook" w:hAnsi="Century Schoolbook"/>
          <w:sz w:val="24"/>
          <w:szCs w:val="24"/>
        </w:rPr>
      </w:pPr>
    </w:p>
    <w:p w:rsidR="00B1696B" w:rsidRPr="00456761" w:rsidRDefault="00B1696B" w:rsidP="00B1696B">
      <w:pPr>
        <w:pStyle w:val="Prrafodelista"/>
        <w:numPr>
          <w:ilvl w:val="0"/>
          <w:numId w:val="2"/>
        </w:numPr>
        <w:spacing w:after="0" w:line="360" w:lineRule="auto"/>
        <w:rPr>
          <w:rFonts w:ascii="Century Schoolbook" w:hAnsi="Century Schoolbook"/>
          <w:color w:val="FF0000"/>
          <w:sz w:val="24"/>
          <w:szCs w:val="24"/>
        </w:rPr>
      </w:pPr>
      <w:r w:rsidRPr="00456761">
        <w:rPr>
          <w:rFonts w:ascii="Century Schoolbook" w:hAnsi="Century Schoolbook"/>
          <w:sz w:val="24"/>
          <w:szCs w:val="24"/>
        </w:rPr>
        <w:t>La venta a través de Quioscos, Empresas e Instituciones y Bibliotecas se mantiene estable respecto al ejercicio anterior.</w:t>
      </w:r>
    </w:p>
    <w:p w:rsidR="00B1696B" w:rsidRPr="00456761" w:rsidRDefault="00B1696B" w:rsidP="00B1696B">
      <w:pPr>
        <w:pStyle w:val="Prrafodelista"/>
        <w:rPr>
          <w:rFonts w:ascii="Century Schoolbook" w:hAnsi="Century Schoolbook"/>
          <w:color w:val="FF0000"/>
          <w:sz w:val="24"/>
          <w:szCs w:val="24"/>
        </w:rPr>
      </w:pPr>
    </w:p>
    <w:p w:rsidR="00B1696B" w:rsidRDefault="00B1696B" w:rsidP="00B1696B">
      <w:pPr>
        <w:pStyle w:val="Prrafodelista"/>
        <w:numPr>
          <w:ilvl w:val="0"/>
          <w:numId w:val="2"/>
        </w:numPr>
        <w:spacing w:after="0" w:line="360" w:lineRule="auto"/>
        <w:rPr>
          <w:rFonts w:ascii="Century Schoolbook" w:hAnsi="Century Schoolbook"/>
          <w:sz w:val="24"/>
          <w:szCs w:val="24"/>
        </w:rPr>
      </w:pPr>
      <w:r w:rsidRPr="000241CF">
        <w:rPr>
          <w:rFonts w:ascii="Century Schoolbook" w:hAnsi="Century Schoolbook"/>
          <w:sz w:val="24"/>
          <w:szCs w:val="24"/>
        </w:rPr>
        <w:t>La venta al consumidor final de</w:t>
      </w:r>
      <w:r w:rsidR="000241CF">
        <w:rPr>
          <w:rFonts w:ascii="Century Schoolbook" w:hAnsi="Century Schoolbook"/>
          <w:sz w:val="24"/>
          <w:szCs w:val="24"/>
        </w:rPr>
        <w:t>sciende un 1,6% respecto a 2014.</w:t>
      </w:r>
    </w:p>
    <w:p w:rsidR="000241CF" w:rsidRPr="000241CF" w:rsidRDefault="000241CF" w:rsidP="000241CF">
      <w:pPr>
        <w:pStyle w:val="Prrafodelista"/>
        <w:rPr>
          <w:rFonts w:ascii="Century Schoolbook" w:hAnsi="Century Schoolbook"/>
          <w:sz w:val="24"/>
          <w:szCs w:val="24"/>
        </w:rPr>
      </w:pPr>
    </w:p>
    <w:p w:rsidR="00B1696B" w:rsidRPr="00456761" w:rsidRDefault="00B1696B" w:rsidP="00B1696B">
      <w:pPr>
        <w:pStyle w:val="Prrafodelista"/>
        <w:numPr>
          <w:ilvl w:val="0"/>
          <w:numId w:val="2"/>
        </w:numPr>
        <w:spacing w:after="0" w:line="360" w:lineRule="auto"/>
        <w:rPr>
          <w:rFonts w:ascii="Century Schoolbook" w:hAnsi="Century Schoolbook"/>
          <w:sz w:val="24"/>
          <w:szCs w:val="24"/>
        </w:rPr>
      </w:pPr>
      <w:r w:rsidRPr="00456761">
        <w:rPr>
          <w:rFonts w:ascii="Century Schoolbook" w:hAnsi="Century Schoolbook"/>
          <w:sz w:val="24"/>
          <w:szCs w:val="24"/>
        </w:rPr>
        <w:t>Un año más aumentan las ventas a través de los canales para libro electrónico. De la facturación total representa</w:t>
      </w:r>
      <w:r w:rsidR="00AC4B6F">
        <w:rPr>
          <w:rFonts w:ascii="Century Schoolbook" w:hAnsi="Century Schoolbook"/>
          <w:sz w:val="24"/>
          <w:szCs w:val="24"/>
        </w:rPr>
        <w:t>n</w:t>
      </w:r>
      <w:r w:rsidRPr="00456761">
        <w:rPr>
          <w:rFonts w:ascii="Century Schoolbook" w:hAnsi="Century Schoolbook"/>
          <w:sz w:val="24"/>
          <w:szCs w:val="24"/>
        </w:rPr>
        <w:t xml:space="preserve"> el 5,1% y han aumentado un 4,9% respecto al ejercicio ante</w:t>
      </w:r>
      <w:r w:rsidR="000241CF">
        <w:rPr>
          <w:rFonts w:ascii="Century Schoolbook" w:hAnsi="Century Schoolbook"/>
          <w:sz w:val="24"/>
          <w:szCs w:val="24"/>
        </w:rPr>
        <w:t>rior</w:t>
      </w:r>
      <w:r w:rsidRPr="00456761">
        <w:rPr>
          <w:rFonts w:ascii="Century Schoolbook" w:hAnsi="Century Schoolbook"/>
          <w:sz w:val="24"/>
          <w:szCs w:val="24"/>
        </w:rPr>
        <w:t>.</w:t>
      </w:r>
    </w:p>
    <w:p w:rsidR="00B1696B" w:rsidRPr="00456761" w:rsidRDefault="00B1696B" w:rsidP="00B1696B">
      <w:pPr>
        <w:spacing w:line="360" w:lineRule="auto"/>
        <w:rPr>
          <w:rFonts w:ascii="Century Schoolbook" w:hAnsi="Century Schoolbook"/>
        </w:rPr>
      </w:pPr>
    </w:p>
    <w:p w:rsidR="00B1696B" w:rsidRPr="00456761" w:rsidRDefault="00B1696B" w:rsidP="00B1696B">
      <w:pPr>
        <w:spacing w:line="360" w:lineRule="auto"/>
        <w:jc w:val="both"/>
        <w:rPr>
          <w:rFonts w:ascii="Century Schoolbook" w:hAnsi="Century Schoolbook"/>
        </w:rPr>
      </w:pPr>
      <w:r w:rsidRPr="00456761">
        <w:rPr>
          <w:rFonts w:ascii="Century Schoolbook" w:hAnsi="Century Schoolbook"/>
        </w:rPr>
        <w:t>La facturación del libro de bolsillo continúa reduciéndose. En año 2015, la facturación alcanzó los 94,57 millones de euros, un 9% menos</w:t>
      </w:r>
      <w:r w:rsidR="00AC4B6F">
        <w:rPr>
          <w:rFonts w:ascii="Century Schoolbook" w:hAnsi="Century Schoolbook"/>
        </w:rPr>
        <w:t xml:space="preserve"> que en el año 2014</w:t>
      </w:r>
      <w:r w:rsidRPr="00456761">
        <w:rPr>
          <w:rFonts w:ascii="Century Schoolbook" w:hAnsi="Century Schoolbook"/>
        </w:rPr>
        <w:t>, si bien el número de títulos editados se incrementó en un 16,5%, un total de 4.211 títulos. La tirada media de estos se redujo un 23,5%, hasta los 4.067 ejemplares por título. El número de ejemplares vendidos fue de 12,2 millones de ejemplares, un 15,3% menos</w:t>
      </w:r>
      <w:r w:rsidR="000241CF">
        <w:rPr>
          <w:rFonts w:ascii="Century Schoolbook" w:hAnsi="Century Schoolbook"/>
        </w:rPr>
        <w:t xml:space="preserve"> que en el ejercicio anterior.</w:t>
      </w:r>
    </w:p>
    <w:p w:rsidR="00B1696B" w:rsidRPr="00456761" w:rsidRDefault="00B1696B" w:rsidP="00B1696B">
      <w:pPr>
        <w:spacing w:line="360" w:lineRule="auto"/>
        <w:jc w:val="both"/>
        <w:rPr>
          <w:rFonts w:ascii="Century Schoolbook" w:hAnsi="Century Schoolbook"/>
        </w:rPr>
      </w:pPr>
    </w:p>
    <w:p w:rsidR="00B1696B" w:rsidRPr="00456761" w:rsidRDefault="00B1696B" w:rsidP="00B1696B">
      <w:pPr>
        <w:spacing w:line="360" w:lineRule="auto"/>
        <w:jc w:val="both"/>
        <w:rPr>
          <w:rFonts w:ascii="Century Schoolbook" w:hAnsi="Century Schoolbook"/>
        </w:rPr>
      </w:pPr>
      <w:r w:rsidRPr="00456761">
        <w:rPr>
          <w:rFonts w:ascii="Century Schoolbook" w:hAnsi="Century Schoolbook"/>
        </w:rPr>
        <w:t>La cifra de facturación de los libros de bolsillo representa el 4,2% de la facturación del comercio interio</w:t>
      </w:r>
      <w:r w:rsidR="00AC4B6F">
        <w:rPr>
          <w:rFonts w:ascii="Century Schoolbook" w:hAnsi="Century Schoolbook"/>
        </w:rPr>
        <w:t>r del libro</w:t>
      </w:r>
      <w:r w:rsidRPr="00456761">
        <w:rPr>
          <w:rFonts w:ascii="Century Schoolbook" w:hAnsi="Century Schoolbook"/>
        </w:rPr>
        <w:t xml:space="preserve"> y el 7,6% de los ejemplares editados. El precio medio de los libros en este formato fue de 7,76 euros.</w:t>
      </w:r>
    </w:p>
    <w:p w:rsidR="00B1696B" w:rsidRPr="00456761" w:rsidRDefault="00B1696B" w:rsidP="00B1696B">
      <w:pPr>
        <w:spacing w:line="360" w:lineRule="auto"/>
        <w:jc w:val="both"/>
        <w:rPr>
          <w:rFonts w:ascii="Century Schoolbook" w:hAnsi="Century Schoolbook"/>
        </w:rPr>
      </w:pPr>
    </w:p>
    <w:p w:rsidR="00B1696B" w:rsidRPr="00456761" w:rsidRDefault="00B1696B" w:rsidP="00B1696B">
      <w:pPr>
        <w:spacing w:line="360" w:lineRule="auto"/>
        <w:jc w:val="both"/>
        <w:rPr>
          <w:rFonts w:ascii="Century Schoolbook" w:hAnsi="Century Schoolbook"/>
        </w:rPr>
      </w:pPr>
    </w:p>
    <w:p w:rsidR="00B1696B" w:rsidRPr="00456761" w:rsidRDefault="00B1696B" w:rsidP="00B1696B">
      <w:pPr>
        <w:spacing w:line="360" w:lineRule="auto"/>
        <w:jc w:val="right"/>
        <w:rPr>
          <w:rFonts w:ascii="Century Schoolbook" w:hAnsi="Century Schoolbook"/>
        </w:rPr>
      </w:pPr>
      <w:r w:rsidRPr="00456761">
        <w:rPr>
          <w:rFonts w:ascii="Century Schoolbook" w:hAnsi="Century Schoolbook"/>
          <w:b/>
          <w:bCs/>
          <w:sz w:val="36"/>
          <w:szCs w:val="36"/>
          <w:u w:val="single"/>
          <w:lang w:val="es-ES_tradnl"/>
        </w:rPr>
        <w:lastRenderedPageBreak/>
        <w:t>Comercio Exterior del Libro</w:t>
      </w:r>
    </w:p>
    <w:p w:rsidR="00B1696B" w:rsidRPr="00456761" w:rsidRDefault="00B1696B" w:rsidP="00B1696B">
      <w:pPr>
        <w:rPr>
          <w:rFonts w:ascii="Century Schoolbook" w:hAnsi="Century Schoolbook"/>
        </w:rPr>
      </w:pPr>
    </w:p>
    <w:p w:rsidR="00B1696B" w:rsidRPr="00456761" w:rsidRDefault="00B1696B" w:rsidP="00B1696B">
      <w:pPr>
        <w:pStyle w:val="CM6"/>
        <w:spacing w:after="0" w:line="360" w:lineRule="auto"/>
        <w:jc w:val="both"/>
        <w:rPr>
          <w:rFonts w:ascii="Century Schoolbook" w:hAnsi="Century Schoolbook"/>
          <w:color w:val="000000"/>
        </w:rPr>
      </w:pPr>
      <w:r w:rsidRPr="00456761">
        <w:rPr>
          <w:rFonts w:ascii="Century Schoolbook" w:hAnsi="Century Schoolbook"/>
          <w:color w:val="000000"/>
        </w:rPr>
        <w:t xml:space="preserve">La </w:t>
      </w:r>
      <w:r w:rsidRPr="00456761">
        <w:rPr>
          <w:rFonts w:ascii="Century Schoolbook" w:hAnsi="Century Schoolbook"/>
          <w:bCs/>
          <w:color w:val="000000"/>
        </w:rPr>
        <w:t xml:space="preserve">Asociación de las Cámaras del Libro de España FEDECALI, </w:t>
      </w:r>
      <w:r w:rsidRPr="00456761">
        <w:rPr>
          <w:rFonts w:ascii="Century Schoolbook" w:hAnsi="Century Schoolbook"/>
          <w:bCs/>
          <w:lang w:val="es-ES_tradnl"/>
        </w:rPr>
        <w:t>heredera de la anterior Federación Española de Cámaras del Libro</w:t>
      </w:r>
      <w:r w:rsidRPr="00456761">
        <w:rPr>
          <w:rFonts w:ascii="Century Schoolbook" w:hAnsi="Century Schoolbook"/>
          <w:color w:val="000000"/>
        </w:rPr>
        <w:t>, compuesta por las Cámaras del Libro de Cataluña, Euskadi y Madrid, que, a su vez, agrupan los Sectores de Editores, Gráficos, Distribuidores y Libreros que pertenecen a sus re</w:t>
      </w:r>
      <w:r w:rsidR="00AC4B6F">
        <w:rPr>
          <w:rFonts w:ascii="Century Schoolbook" w:hAnsi="Century Schoolbook"/>
          <w:color w:val="000000"/>
        </w:rPr>
        <w:t>spectivos ámbitos territoriales</w:t>
      </w:r>
      <w:r w:rsidRPr="00456761">
        <w:rPr>
          <w:rFonts w:ascii="Century Schoolbook" w:hAnsi="Century Schoolbook"/>
          <w:color w:val="000000"/>
        </w:rPr>
        <w:t xml:space="preserve"> y cuyo Presidente es siempre el Presid</w:t>
      </w:r>
      <w:r w:rsidR="00AC4B6F">
        <w:rPr>
          <w:rFonts w:ascii="Century Schoolbook" w:hAnsi="Century Schoolbook"/>
          <w:color w:val="000000"/>
        </w:rPr>
        <w:t>ente de la Federación, elabora</w:t>
      </w:r>
      <w:r w:rsidRPr="00456761">
        <w:rPr>
          <w:rFonts w:ascii="Century Schoolbook" w:hAnsi="Century Schoolbook"/>
          <w:color w:val="000000"/>
        </w:rPr>
        <w:t xml:space="preserve"> desde hace más de veinte años el informe sobre el Comercio Exterior del Libro, referido a las operaciones de exportación e importación de mercancías que realizaban, y realizan, las empresas del mundo del libro asociadas a las Cámaras. Por su interés para el sector editorial español, explicamos a continuación brevemente los resultados de este estudio, referidos al ejercicio del año 2015 y que supone su vigésimo cuarta edición.</w:t>
      </w:r>
    </w:p>
    <w:p w:rsidR="00B1696B" w:rsidRPr="00456761" w:rsidRDefault="00B1696B" w:rsidP="00B1696B">
      <w:pPr>
        <w:spacing w:line="360" w:lineRule="auto"/>
        <w:rPr>
          <w:rFonts w:ascii="Century Schoolbook" w:hAnsi="Century Schoolbook"/>
        </w:rPr>
      </w:pPr>
    </w:p>
    <w:p w:rsidR="00B1696B" w:rsidRPr="00456761" w:rsidRDefault="00B1696B" w:rsidP="00B1696B">
      <w:pPr>
        <w:spacing w:line="360" w:lineRule="auto"/>
        <w:jc w:val="both"/>
        <w:rPr>
          <w:rFonts w:ascii="Century Schoolbook" w:hAnsi="Century Schoolbook"/>
        </w:rPr>
      </w:pPr>
      <w:r w:rsidRPr="00456761">
        <w:rPr>
          <w:rFonts w:ascii="Century Schoolbook" w:hAnsi="Century Schoolbook"/>
        </w:rPr>
        <w:t>En primer lugar, hay que señalar que el conjunto del sector del libro exportó mercancías por valor de 552,366 millones de euros (1,96% más que en 2014), correspondiendo al sector editorial 358,817 millones de euros (65%)  y 193,549 millones de euros al sector gráfico (35%). El sector editorial aumentó sus ventas un 3,28% y el sector gráfico redujo ligeramente sus exportaciones (0,41%).</w:t>
      </w:r>
    </w:p>
    <w:p w:rsidR="00B1696B" w:rsidRPr="00456761" w:rsidRDefault="00B1696B" w:rsidP="00B1696B">
      <w:pPr>
        <w:spacing w:line="360" w:lineRule="auto"/>
        <w:jc w:val="both"/>
        <w:rPr>
          <w:rFonts w:ascii="Century Schoolbook" w:hAnsi="Century Schoolbook"/>
        </w:rPr>
      </w:pPr>
    </w:p>
    <w:p w:rsidR="00B1696B" w:rsidRPr="00456761" w:rsidRDefault="00B1696B" w:rsidP="00B1696B">
      <w:pPr>
        <w:spacing w:line="360" w:lineRule="auto"/>
        <w:jc w:val="both"/>
        <w:rPr>
          <w:rFonts w:ascii="Century Schoolbook" w:hAnsi="Century Schoolbook"/>
        </w:rPr>
      </w:pPr>
      <w:r w:rsidRPr="00456761">
        <w:rPr>
          <w:rFonts w:ascii="Century Schoolbook" w:hAnsi="Century Schoolbook"/>
        </w:rPr>
        <w:t>Sobre las exportaciones de libros en el año 2015, el sector editorial exportó 311,49 millones de euros  (el 87% del total de sus exportaciones) y el sector gráfico 122,05 millones de euros (el 63% del total de sus exportaciones).</w:t>
      </w:r>
    </w:p>
    <w:p w:rsidR="00B1696B" w:rsidRPr="00456761" w:rsidRDefault="00B1696B" w:rsidP="00B1696B">
      <w:pPr>
        <w:spacing w:line="360" w:lineRule="auto"/>
        <w:jc w:val="both"/>
        <w:rPr>
          <w:rFonts w:ascii="Century Schoolbook" w:hAnsi="Century Schoolbook"/>
        </w:rPr>
      </w:pPr>
    </w:p>
    <w:p w:rsidR="00B1696B" w:rsidRPr="00456761" w:rsidRDefault="00B1696B" w:rsidP="00B1696B">
      <w:pPr>
        <w:spacing w:line="360" w:lineRule="auto"/>
        <w:jc w:val="both"/>
        <w:rPr>
          <w:rFonts w:ascii="Century Schoolbook" w:hAnsi="Century Schoolbook"/>
        </w:rPr>
      </w:pPr>
      <w:r w:rsidRPr="00456761">
        <w:rPr>
          <w:rFonts w:ascii="Century Schoolbook" w:hAnsi="Century Schoolbook"/>
        </w:rPr>
        <w:t xml:space="preserve">Asimismo, la importación sumó 227,98 millones de euros, correspondiendo a libros el 19% (43,92 millones de euros); el resto equivale a encargos de imprenta y coediciones (44%, 99,84 millones de euros), prensa y revistas (36%, 82,12 millones de euros) y otros productos (1%, 2,11 millones de euros). Esta importación supone un incremento del 8% con respecto al año 2014 (consecuencia del incremento de encargos de imprenta al exterior). </w:t>
      </w:r>
    </w:p>
    <w:p w:rsidR="00B1696B" w:rsidRPr="00456761" w:rsidRDefault="00B1696B" w:rsidP="00B1696B">
      <w:pPr>
        <w:spacing w:line="360" w:lineRule="auto"/>
        <w:jc w:val="both"/>
        <w:rPr>
          <w:rFonts w:ascii="Century Schoolbook" w:hAnsi="Century Schoolbook"/>
        </w:rPr>
      </w:pPr>
    </w:p>
    <w:p w:rsidR="00B1696B" w:rsidRPr="00456761" w:rsidRDefault="00B1696B" w:rsidP="00B1696B">
      <w:pPr>
        <w:spacing w:line="360" w:lineRule="auto"/>
        <w:jc w:val="both"/>
        <w:rPr>
          <w:rFonts w:ascii="Century Schoolbook" w:hAnsi="Century Schoolbook"/>
        </w:rPr>
      </w:pPr>
      <w:r w:rsidRPr="00456761">
        <w:rPr>
          <w:rFonts w:ascii="Century Schoolbook" w:hAnsi="Century Schoolbook"/>
        </w:rPr>
        <w:lastRenderedPageBreak/>
        <w:t>Esto significa que el saldo de la balanza comercial, 324,39 millones de euros, volvió a ser positivo, como es tradicional dado el carácter exportador del libro español, a pesar de que se redujo un 1,42% respecto al año 2014.</w:t>
      </w:r>
    </w:p>
    <w:p w:rsidR="00B1696B" w:rsidRPr="00456761" w:rsidRDefault="00B1696B" w:rsidP="00B1696B">
      <w:pPr>
        <w:jc w:val="center"/>
        <w:rPr>
          <w:rFonts w:ascii="Century Schoolbook" w:hAnsi="Century Schoolbook"/>
          <w:b/>
          <w:bCs/>
          <w:lang w:val="es-ES_tradnl"/>
        </w:rPr>
      </w:pPr>
    </w:p>
    <w:p w:rsidR="00B1696B" w:rsidRPr="00456761" w:rsidRDefault="00B1696B" w:rsidP="00B1696B">
      <w:pPr>
        <w:jc w:val="center"/>
        <w:rPr>
          <w:rFonts w:ascii="Century Schoolbook" w:hAnsi="Century Schoolbook"/>
          <w:b/>
          <w:bCs/>
          <w:lang w:val="es-ES_tradnl"/>
        </w:rPr>
      </w:pPr>
    </w:p>
    <w:p w:rsidR="00B1696B" w:rsidRPr="00456761" w:rsidRDefault="00B1696B" w:rsidP="00B1696B">
      <w:pPr>
        <w:spacing w:line="360" w:lineRule="auto"/>
        <w:jc w:val="both"/>
        <w:rPr>
          <w:rFonts w:ascii="Century Schoolbook" w:hAnsi="Century Schoolbook"/>
          <w:bCs/>
        </w:rPr>
      </w:pPr>
      <w:r w:rsidRPr="00456761">
        <w:rPr>
          <w:rFonts w:ascii="Century Schoolbook" w:hAnsi="Century Schoolbook"/>
          <w:bCs/>
        </w:rPr>
        <w:t>A esas cantidades hay que sumar la venta de derechos que, en 2015, ascendió a 70,6 millones de euros, un 6,3% más con respecto a 2014.</w:t>
      </w:r>
    </w:p>
    <w:p w:rsidR="00B1696B" w:rsidRPr="00456761" w:rsidRDefault="00B1696B" w:rsidP="00B1696B">
      <w:pPr>
        <w:spacing w:line="360" w:lineRule="auto"/>
        <w:jc w:val="both"/>
        <w:rPr>
          <w:rFonts w:ascii="Century Schoolbook" w:hAnsi="Century Schoolbook"/>
          <w:bCs/>
        </w:rPr>
      </w:pPr>
    </w:p>
    <w:p w:rsidR="00B1696B" w:rsidRPr="00456761" w:rsidRDefault="00B1696B" w:rsidP="00B1696B">
      <w:pPr>
        <w:spacing w:line="360" w:lineRule="auto"/>
        <w:jc w:val="both"/>
        <w:rPr>
          <w:rFonts w:ascii="Century Schoolbook" w:hAnsi="Century Schoolbook"/>
        </w:rPr>
      </w:pPr>
      <w:r w:rsidRPr="00456761">
        <w:rPr>
          <w:rFonts w:ascii="Century Schoolbook" w:hAnsi="Century Schoolbook"/>
          <w:lang w:val="es-ES_tradnl"/>
        </w:rPr>
        <w:t xml:space="preserve">Europa y América siguen siendo los principales mercados del sector del libro español. Las exportaciones europeas crecieron un 4,16% en 2015, hasta los 347 millones de euros. En cuanto a las destinadas a América, también tuvieron un incremento del 1,90%, alcanzando los 186 millones de euros. Hay que señalar, no obstante, que una parte de las ventas de editoriales españolas en América se hacen a través de sus filiales en países iberoamericanos y que, por lo tanto, no computan como exportaciones. Las exportaciones a otros continentes han decrecido. </w:t>
      </w:r>
    </w:p>
    <w:p w:rsidR="00B1696B" w:rsidRPr="00456761" w:rsidRDefault="00B1696B" w:rsidP="00B1696B">
      <w:pPr>
        <w:spacing w:line="360" w:lineRule="auto"/>
        <w:jc w:val="both"/>
        <w:rPr>
          <w:rFonts w:ascii="Century Schoolbook" w:hAnsi="Century Schoolbook"/>
        </w:rPr>
      </w:pPr>
      <w:r w:rsidRPr="00456761">
        <w:rPr>
          <w:rFonts w:ascii="Century Schoolbook" w:hAnsi="Century Schoolbook"/>
          <w:lang w:val="es-ES_tradnl"/>
        </w:rPr>
        <w:t> </w:t>
      </w:r>
    </w:p>
    <w:p w:rsidR="00B1696B" w:rsidRPr="00456761" w:rsidRDefault="00B1696B" w:rsidP="00B1696B">
      <w:pPr>
        <w:spacing w:line="360" w:lineRule="auto"/>
        <w:jc w:val="both"/>
        <w:rPr>
          <w:rFonts w:ascii="Century Schoolbook" w:hAnsi="Century Schoolbook"/>
        </w:rPr>
      </w:pPr>
      <w:r w:rsidRPr="00456761">
        <w:rPr>
          <w:rFonts w:ascii="Century Schoolbook" w:hAnsi="Century Schoolbook"/>
          <w:lang w:val="es-ES_tradnl"/>
        </w:rPr>
        <w:t>Entre los principales mercados de las exportaciones destaca</w:t>
      </w:r>
      <w:r w:rsidR="00AC4B6F">
        <w:rPr>
          <w:rFonts w:ascii="Century Schoolbook" w:hAnsi="Century Schoolbook"/>
          <w:lang w:val="es-ES_tradnl"/>
        </w:rPr>
        <w:t>n</w:t>
      </w:r>
      <w:r w:rsidRPr="00456761">
        <w:rPr>
          <w:rFonts w:ascii="Century Schoolbook" w:hAnsi="Century Schoolbook"/>
          <w:lang w:val="es-ES_tradnl"/>
        </w:rPr>
        <w:t xml:space="preserve"> Francia (151,04 millones de euros), si bien ha registrado un descen</w:t>
      </w:r>
      <w:r w:rsidR="00AC4B6F">
        <w:rPr>
          <w:rFonts w:ascii="Century Schoolbook" w:hAnsi="Century Schoolbook"/>
          <w:lang w:val="es-ES_tradnl"/>
        </w:rPr>
        <w:t>so con respecto al año anterior,</w:t>
      </w:r>
      <w:r w:rsidRPr="00456761">
        <w:rPr>
          <w:rFonts w:ascii="Century Schoolbook" w:hAnsi="Century Schoolbook"/>
          <w:lang w:val="es-ES_tradnl"/>
        </w:rPr>
        <w:t xml:space="preserve"> Portugal (67,06 millones de euros), que incrementó su factura, lo mismo que México (61,40 millones de euros) y Reino Unido (48,79 millones de euros). También Italia compró más libros a las editoriales españolas hasta los 23,10 millones de euros.</w:t>
      </w:r>
    </w:p>
    <w:p w:rsidR="00B1696B" w:rsidRPr="00456761" w:rsidRDefault="00B1696B" w:rsidP="00B1696B">
      <w:pPr>
        <w:rPr>
          <w:rFonts w:ascii="Century Schoolbook" w:hAnsi="Century Schoolbook"/>
          <w:b/>
          <w:bCs/>
        </w:rPr>
      </w:pPr>
    </w:p>
    <w:p w:rsidR="00B1696B" w:rsidRPr="00456761" w:rsidRDefault="00B1696B" w:rsidP="00B1696B">
      <w:pPr>
        <w:rPr>
          <w:rFonts w:ascii="Century Schoolbook" w:hAnsi="Century Schoolbook"/>
        </w:rPr>
      </w:pPr>
      <w:r w:rsidRPr="00456761">
        <w:rPr>
          <w:rFonts w:ascii="Century Schoolbook" w:hAnsi="Century Schoolbook"/>
        </w:rPr>
        <w:t>En conclusión:</w:t>
      </w:r>
    </w:p>
    <w:p w:rsidR="00B1696B" w:rsidRPr="00456761" w:rsidRDefault="00B1696B" w:rsidP="00B1696B">
      <w:pPr>
        <w:rPr>
          <w:rFonts w:ascii="Century Schoolbook" w:hAnsi="Century Schoolbook"/>
        </w:rPr>
      </w:pPr>
    </w:p>
    <w:p w:rsidR="00B1696B" w:rsidRPr="00456761" w:rsidRDefault="00B1696B" w:rsidP="00B1696B">
      <w:pPr>
        <w:pStyle w:val="Prrafodelista"/>
        <w:numPr>
          <w:ilvl w:val="0"/>
          <w:numId w:val="3"/>
        </w:numPr>
        <w:autoSpaceDE w:val="0"/>
        <w:autoSpaceDN w:val="0"/>
        <w:adjustRightInd w:val="0"/>
        <w:spacing w:line="360" w:lineRule="auto"/>
        <w:rPr>
          <w:rFonts w:ascii="Century Schoolbook" w:eastAsiaTheme="minorHAnsi" w:hAnsi="Century Schoolbook"/>
          <w:sz w:val="24"/>
          <w:szCs w:val="24"/>
        </w:rPr>
      </w:pPr>
      <w:r w:rsidRPr="00456761">
        <w:rPr>
          <w:rFonts w:ascii="Century Schoolbook" w:eastAsiaTheme="minorHAnsi" w:hAnsi="Century Schoolbook"/>
          <w:sz w:val="24"/>
          <w:szCs w:val="24"/>
        </w:rPr>
        <w:t>La exportación del Sector del Libro aumenta un 1,96%.</w:t>
      </w:r>
    </w:p>
    <w:p w:rsidR="00B1696B" w:rsidRPr="00456761" w:rsidRDefault="00B1696B" w:rsidP="00B1696B">
      <w:pPr>
        <w:pStyle w:val="Prrafodelista"/>
        <w:autoSpaceDE w:val="0"/>
        <w:autoSpaceDN w:val="0"/>
        <w:adjustRightInd w:val="0"/>
        <w:spacing w:line="360" w:lineRule="auto"/>
        <w:rPr>
          <w:rFonts w:ascii="Century Schoolbook" w:eastAsiaTheme="minorHAnsi" w:hAnsi="Century Schoolbook"/>
          <w:sz w:val="24"/>
          <w:szCs w:val="24"/>
        </w:rPr>
      </w:pPr>
    </w:p>
    <w:p w:rsidR="00B1696B" w:rsidRPr="00456761" w:rsidRDefault="00B1696B" w:rsidP="00B1696B">
      <w:pPr>
        <w:pStyle w:val="Prrafodelista"/>
        <w:numPr>
          <w:ilvl w:val="0"/>
          <w:numId w:val="3"/>
        </w:numPr>
        <w:autoSpaceDE w:val="0"/>
        <w:autoSpaceDN w:val="0"/>
        <w:adjustRightInd w:val="0"/>
        <w:spacing w:line="360" w:lineRule="auto"/>
        <w:rPr>
          <w:rFonts w:ascii="Century Schoolbook" w:eastAsiaTheme="minorHAnsi" w:hAnsi="Century Schoolbook"/>
          <w:sz w:val="24"/>
          <w:szCs w:val="24"/>
        </w:rPr>
      </w:pPr>
      <w:r w:rsidRPr="00456761">
        <w:rPr>
          <w:rFonts w:ascii="Century Schoolbook" w:eastAsiaTheme="minorHAnsi" w:hAnsi="Century Schoolbook"/>
          <w:sz w:val="24"/>
          <w:szCs w:val="24"/>
        </w:rPr>
        <w:t>América sigue siendo el mercado fundamental para las empresas editoriales exportadoras del sector del libro.</w:t>
      </w:r>
    </w:p>
    <w:p w:rsidR="00B1696B" w:rsidRPr="00456761" w:rsidRDefault="00B1696B" w:rsidP="00B1696B">
      <w:pPr>
        <w:pStyle w:val="Prrafodelista"/>
        <w:rPr>
          <w:rFonts w:ascii="Century Schoolbook" w:eastAsiaTheme="minorHAnsi" w:hAnsi="Century Schoolbook"/>
          <w:sz w:val="24"/>
          <w:szCs w:val="24"/>
        </w:rPr>
      </w:pPr>
    </w:p>
    <w:p w:rsidR="00B1696B" w:rsidRPr="00456761" w:rsidRDefault="00B1696B" w:rsidP="00B1696B">
      <w:pPr>
        <w:pStyle w:val="Prrafodelista"/>
        <w:numPr>
          <w:ilvl w:val="0"/>
          <w:numId w:val="3"/>
        </w:numPr>
        <w:autoSpaceDE w:val="0"/>
        <w:autoSpaceDN w:val="0"/>
        <w:adjustRightInd w:val="0"/>
        <w:spacing w:line="360" w:lineRule="auto"/>
        <w:rPr>
          <w:rFonts w:ascii="Century Schoolbook" w:eastAsiaTheme="minorHAnsi" w:hAnsi="Century Schoolbook"/>
          <w:sz w:val="24"/>
          <w:szCs w:val="24"/>
        </w:rPr>
      </w:pPr>
      <w:r w:rsidRPr="00456761">
        <w:rPr>
          <w:rFonts w:ascii="Century Schoolbook" w:eastAsiaTheme="minorHAnsi" w:hAnsi="Century Schoolbook"/>
          <w:sz w:val="24"/>
          <w:szCs w:val="24"/>
        </w:rPr>
        <w:t>La Unión Europea continúa siendo el primer destino de las exportaciones del Sector del Libro.</w:t>
      </w:r>
    </w:p>
    <w:p w:rsidR="00B1696B" w:rsidRPr="00456761" w:rsidRDefault="00B1696B" w:rsidP="00B1696B">
      <w:pPr>
        <w:pStyle w:val="Prrafodelista"/>
        <w:rPr>
          <w:rFonts w:ascii="Century Schoolbook" w:eastAsiaTheme="minorHAnsi" w:hAnsi="Century Schoolbook"/>
          <w:sz w:val="24"/>
          <w:szCs w:val="24"/>
        </w:rPr>
      </w:pPr>
    </w:p>
    <w:p w:rsidR="00B1696B" w:rsidRPr="00456761" w:rsidRDefault="00B1696B" w:rsidP="00B1696B">
      <w:pPr>
        <w:pStyle w:val="Prrafodelista"/>
        <w:numPr>
          <w:ilvl w:val="0"/>
          <w:numId w:val="3"/>
        </w:numPr>
        <w:autoSpaceDE w:val="0"/>
        <w:autoSpaceDN w:val="0"/>
        <w:adjustRightInd w:val="0"/>
        <w:spacing w:line="360" w:lineRule="auto"/>
        <w:rPr>
          <w:rFonts w:ascii="Century Schoolbook" w:eastAsiaTheme="minorHAnsi" w:hAnsi="Century Schoolbook"/>
          <w:sz w:val="24"/>
          <w:szCs w:val="24"/>
        </w:rPr>
      </w:pPr>
      <w:r w:rsidRPr="00456761">
        <w:rPr>
          <w:rFonts w:ascii="Century Schoolbook" w:eastAsiaTheme="minorHAnsi" w:hAnsi="Century Schoolbook"/>
          <w:sz w:val="24"/>
          <w:szCs w:val="24"/>
        </w:rPr>
        <w:lastRenderedPageBreak/>
        <w:t>La exportación del libro tradicional mantiene su buen comportamiento en Europa.</w:t>
      </w:r>
    </w:p>
    <w:p w:rsidR="00B1696B" w:rsidRPr="00456761" w:rsidRDefault="00B1696B" w:rsidP="00B1696B">
      <w:pPr>
        <w:pStyle w:val="Prrafodelista"/>
        <w:rPr>
          <w:rFonts w:ascii="Century Schoolbook" w:eastAsiaTheme="minorHAnsi" w:hAnsi="Century Schoolbook"/>
          <w:sz w:val="24"/>
          <w:szCs w:val="24"/>
        </w:rPr>
      </w:pPr>
    </w:p>
    <w:p w:rsidR="00B1696B" w:rsidRPr="00456761" w:rsidRDefault="00B1696B" w:rsidP="00B1696B">
      <w:pPr>
        <w:pStyle w:val="Prrafodelista"/>
        <w:numPr>
          <w:ilvl w:val="0"/>
          <w:numId w:val="3"/>
        </w:numPr>
        <w:autoSpaceDE w:val="0"/>
        <w:autoSpaceDN w:val="0"/>
        <w:adjustRightInd w:val="0"/>
        <w:spacing w:line="360" w:lineRule="auto"/>
        <w:rPr>
          <w:rFonts w:ascii="Century Schoolbook" w:eastAsiaTheme="minorHAnsi" w:hAnsi="Century Schoolbook"/>
          <w:sz w:val="24"/>
          <w:szCs w:val="24"/>
        </w:rPr>
      </w:pPr>
      <w:r w:rsidRPr="00456761">
        <w:rPr>
          <w:rFonts w:ascii="Century Schoolbook" w:eastAsiaTheme="minorHAnsi" w:hAnsi="Century Schoolbook"/>
          <w:sz w:val="24"/>
          <w:szCs w:val="24"/>
        </w:rPr>
        <w:t>La exportación de coleccionables y material de quiosco incrementa su cifra de negocio en un 7,96%.</w:t>
      </w:r>
    </w:p>
    <w:p w:rsidR="00B1696B" w:rsidRPr="00456761" w:rsidRDefault="00B1696B" w:rsidP="00B1696B">
      <w:pPr>
        <w:pStyle w:val="Prrafodelista"/>
        <w:rPr>
          <w:rFonts w:ascii="Century Schoolbook" w:eastAsiaTheme="minorHAnsi" w:hAnsi="Century Schoolbook"/>
          <w:sz w:val="24"/>
          <w:szCs w:val="24"/>
        </w:rPr>
      </w:pPr>
    </w:p>
    <w:p w:rsidR="00B1696B" w:rsidRPr="00456761" w:rsidRDefault="00B1696B" w:rsidP="00B1696B">
      <w:pPr>
        <w:pStyle w:val="Prrafodelista"/>
        <w:numPr>
          <w:ilvl w:val="0"/>
          <w:numId w:val="3"/>
        </w:numPr>
        <w:autoSpaceDE w:val="0"/>
        <w:autoSpaceDN w:val="0"/>
        <w:adjustRightInd w:val="0"/>
        <w:spacing w:line="360" w:lineRule="auto"/>
        <w:rPr>
          <w:rFonts w:ascii="Century Schoolbook" w:eastAsiaTheme="minorHAnsi" w:hAnsi="Century Schoolbook"/>
          <w:sz w:val="24"/>
          <w:szCs w:val="24"/>
        </w:rPr>
      </w:pPr>
      <w:r w:rsidRPr="00456761">
        <w:rPr>
          <w:rFonts w:ascii="Century Schoolbook" w:eastAsiaTheme="minorHAnsi" w:hAnsi="Century Schoolbook"/>
          <w:sz w:val="24"/>
          <w:szCs w:val="24"/>
        </w:rPr>
        <w:t>Se mantiene la exportación de manuales de español para extranjeros, fruto de las acciones específicas de promoción llevadas a cabo por el sector.</w:t>
      </w:r>
    </w:p>
    <w:p w:rsidR="00B1696B" w:rsidRPr="00456761" w:rsidRDefault="00B1696B" w:rsidP="00B1696B">
      <w:pPr>
        <w:pStyle w:val="Prrafodelista"/>
        <w:rPr>
          <w:rFonts w:ascii="Century Schoolbook" w:eastAsiaTheme="minorHAnsi" w:hAnsi="Century Schoolbook"/>
          <w:sz w:val="24"/>
          <w:szCs w:val="24"/>
        </w:rPr>
      </w:pPr>
    </w:p>
    <w:p w:rsidR="00B1696B" w:rsidRPr="00456761" w:rsidRDefault="00B1696B" w:rsidP="00B1696B">
      <w:pPr>
        <w:pStyle w:val="Prrafodelista"/>
        <w:numPr>
          <w:ilvl w:val="0"/>
          <w:numId w:val="3"/>
        </w:numPr>
        <w:autoSpaceDE w:val="0"/>
        <w:autoSpaceDN w:val="0"/>
        <w:adjustRightInd w:val="0"/>
        <w:spacing w:line="360" w:lineRule="auto"/>
        <w:rPr>
          <w:rFonts w:ascii="Century Schoolbook" w:eastAsiaTheme="minorHAnsi" w:hAnsi="Century Schoolbook"/>
          <w:sz w:val="24"/>
          <w:szCs w:val="24"/>
        </w:rPr>
      </w:pPr>
      <w:r w:rsidRPr="00456761">
        <w:rPr>
          <w:rFonts w:ascii="Century Schoolbook" w:eastAsiaTheme="minorHAnsi" w:hAnsi="Century Schoolbook"/>
          <w:sz w:val="24"/>
          <w:szCs w:val="24"/>
        </w:rPr>
        <w:t>Norteamérica sigue afianzándose como uno de los mercados más importantes para nuestros libros. Pese a que las cifras de exportación directa a ese destino han sufrido un apreciable descenso en la última década, las empresas españolas han aumentado su presencia en dicho mercado mediante envíos desde países iberoamericanos y exportaciones indirectas desde China.</w:t>
      </w:r>
    </w:p>
    <w:p w:rsidR="00B1696B" w:rsidRPr="00456761" w:rsidRDefault="00B1696B" w:rsidP="00B1696B">
      <w:pPr>
        <w:pStyle w:val="Prrafodelista"/>
        <w:rPr>
          <w:rFonts w:ascii="Century Schoolbook" w:eastAsiaTheme="minorHAnsi" w:hAnsi="Century Schoolbook"/>
          <w:sz w:val="24"/>
          <w:szCs w:val="24"/>
        </w:rPr>
      </w:pPr>
    </w:p>
    <w:p w:rsidR="00B1696B" w:rsidRPr="00456761" w:rsidRDefault="00B1696B" w:rsidP="00B1696B">
      <w:pPr>
        <w:pStyle w:val="Prrafodelista"/>
        <w:numPr>
          <w:ilvl w:val="0"/>
          <w:numId w:val="3"/>
        </w:numPr>
        <w:autoSpaceDE w:val="0"/>
        <w:autoSpaceDN w:val="0"/>
        <w:adjustRightInd w:val="0"/>
        <w:spacing w:line="360" w:lineRule="auto"/>
        <w:rPr>
          <w:rFonts w:ascii="Century Schoolbook" w:eastAsiaTheme="minorHAnsi" w:hAnsi="Century Schoolbook"/>
          <w:sz w:val="24"/>
          <w:szCs w:val="24"/>
        </w:rPr>
      </w:pPr>
      <w:r w:rsidRPr="00456761">
        <w:rPr>
          <w:rFonts w:ascii="Century Schoolbook" w:eastAsiaTheme="minorHAnsi" w:hAnsi="Century Schoolbook"/>
          <w:sz w:val="24"/>
          <w:szCs w:val="24"/>
        </w:rPr>
        <w:t>Aumenta la cifra de importación un 11,88%. Aumenta la cifra de encargos de imprenta realizados a países del Extremo Oriente un 8,74%. Recordemos que casi el 37% de nuestras importaciones son de prensa y revistas</w:t>
      </w:r>
      <w:bookmarkStart w:id="0" w:name="_GoBack"/>
      <w:bookmarkEnd w:id="0"/>
      <w:r w:rsidRPr="00456761">
        <w:rPr>
          <w:rFonts w:ascii="Century Schoolbook" w:eastAsiaTheme="minorHAnsi" w:hAnsi="Century Schoolbook"/>
          <w:sz w:val="24"/>
          <w:szCs w:val="24"/>
        </w:rPr>
        <w:t xml:space="preserve"> y el 43% son encargos de imprenta y coediciones.</w:t>
      </w:r>
    </w:p>
    <w:p w:rsidR="00B1696B" w:rsidRPr="00456761" w:rsidRDefault="00B1696B" w:rsidP="00B1696B">
      <w:pPr>
        <w:pStyle w:val="Prrafodelista"/>
        <w:rPr>
          <w:rFonts w:ascii="Century Schoolbook" w:eastAsiaTheme="minorHAnsi" w:hAnsi="Century Schoolbook"/>
          <w:sz w:val="24"/>
          <w:szCs w:val="24"/>
        </w:rPr>
      </w:pPr>
    </w:p>
    <w:p w:rsidR="00B1696B" w:rsidRPr="00456761" w:rsidRDefault="00B1696B" w:rsidP="00B1696B">
      <w:pPr>
        <w:pStyle w:val="Prrafodelista"/>
        <w:numPr>
          <w:ilvl w:val="0"/>
          <w:numId w:val="3"/>
        </w:numPr>
        <w:autoSpaceDE w:val="0"/>
        <w:autoSpaceDN w:val="0"/>
        <w:adjustRightInd w:val="0"/>
        <w:spacing w:line="360" w:lineRule="auto"/>
        <w:rPr>
          <w:rFonts w:ascii="Century Schoolbook" w:eastAsiaTheme="minorHAnsi" w:hAnsi="Century Schoolbook"/>
          <w:sz w:val="24"/>
          <w:szCs w:val="24"/>
        </w:rPr>
      </w:pPr>
      <w:r w:rsidRPr="00456761">
        <w:rPr>
          <w:rFonts w:ascii="Century Schoolbook" w:eastAsiaTheme="minorHAnsi" w:hAnsi="Century Schoolbook"/>
          <w:sz w:val="24"/>
          <w:szCs w:val="24"/>
        </w:rPr>
        <w:t>El saldo comercial del sector del libro sigue siendo muy positivo, alcanzando en 2015 trescientos veinticuatro millones de euros.</w:t>
      </w:r>
    </w:p>
    <w:p w:rsidR="00FB58B7" w:rsidRPr="005677D9" w:rsidRDefault="00FB58B7" w:rsidP="005677D9">
      <w:pPr>
        <w:rPr>
          <w:rFonts w:ascii="Century Schoolbook" w:eastAsiaTheme="minorHAnsi" w:hAnsi="Century Schoolbook"/>
          <w:lang w:eastAsia="en-US"/>
        </w:rPr>
      </w:pPr>
    </w:p>
    <w:sectPr w:rsidR="00FB58B7" w:rsidRPr="005677D9" w:rsidSect="00BE3AD0">
      <w:footerReference w:type="default" r:id="rId8"/>
      <w:pgSz w:w="11906" w:h="16838"/>
      <w:pgMar w:top="1417" w:right="1418" w:bottom="141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2CC9" w:rsidRDefault="00E62CC9" w:rsidP="00E62CC9">
      <w:r>
        <w:separator/>
      </w:r>
    </w:p>
  </w:endnote>
  <w:endnote w:type="continuationSeparator" w:id="0">
    <w:p w:rsidR="00E62CC9" w:rsidRDefault="00E62CC9" w:rsidP="00E62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59680237"/>
      <w:docPartObj>
        <w:docPartGallery w:val="Page Numbers (Bottom of Page)"/>
        <w:docPartUnique/>
      </w:docPartObj>
    </w:sdtPr>
    <w:sdtEndPr/>
    <w:sdtContent>
      <w:p w:rsidR="00E62CC9" w:rsidRDefault="00E62CC9">
        <w:pPr>
          <w:pStyle w:val="Piedepgina"/>
          <w:jc w:val="right"/>
        </w:pPr>
        <w:r>
          <w:fldChar w:fldCharType="begin"/>
        </w:r>
        <w:r>
          <w:instrText>PAGE   \* MERGEFORMAT</w:instrText>
        </w:r>
        <w:r>
          <w:fldChar w:fldCharType="separate"/>
        </w:r>
        <w:r w:rsidR="00AC4B6F">
          <w:rPr>
            <w:noProof/>
          </w:rPr>
          <w:t>8</w:t>
        </w:r>
        <w:r>
          <w:fldChar w:fldCharType="end"/>
        </w:r>
      </w:p>
    </w:sdtContent>
  </w:sdt>
  <w:p w:rsidR="00E62CC9" w:rsidRDefault="00E62CC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2CC9" w:rsidRDefault="00E62CC9" w:rsidP="00E62CC9">
      <w:r>
        <w:separator/>
      </w:r>
    </w:p>
  </w:footnote>
  <w:footnote w:type="continuationSeparator" w:id="0">
    <w:p w:rsidR="00E62CC9" w:rsidRDefault="00E62CC9" w:rsidP="00E62CC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3857CE"/>
    <w:multiLevelType w:val="hybridMultilevel"/>
    <w:tmpl w:val="607A9444"/>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3F9206EF"/>
    <w:multiLevelType w:val="hybridMultilevel"/>
    <w:tmpl w:val="4BA09C58"/>
    <w:lvl w:ilvl="0" w:tplc="1562B500">
      <w:start w:val="1"/>
      <w:numFmt w:val="bullet"/>
      <w:lvlText w:val=""/>
      <w:lvlJc w:val="left"/>
      <w:pPr>
        <w:ind w:left="720" w:hanging="360"/>
      </w:pPr>
      <w:rPr>
        <w:rFonts w:ascii="Symbol" w:hAnsi="Symbol" w:hint="default"/>
        <w:color w:val="auto"/>
      </w:rPr>
    </w:lvl>
    <w:lvl w:ilvl="1" w:tplc="7626F4F8">
      <w:start w:val="1"/>
      <w:numFmt w:val="bullet"/>
      <w:lvlText w:val="o"/>
      <w:lvlJc w:val="left"/>
      <w:pPr>
        <w:ind w:left="1440" w:hanging="360"/>
      </w:pPr>
      <w:rPr>
        <w:rFonts w:ascii="Courier New" w:hAnsi="Courier New" w:hint="default"/>
        <w:color w:val="auto"/>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6E0A3FCA"/>
    <w:multiLevelType w:val="hybridMultilevel"/>
    <w:tmpl w:val="A4469CF2"/>
    <w:lvl w:ilvl="0" w:tplc="943A075E">
      <w:start w:val="1"/>
      <w:numFmt w:val="bullet"/>
      <w:lvlText w:val=""/>
      <w:lvlJc w:val="left"/>
      <w:pPr>
        <w:ind w:left="720" w:hanging="360"/>
      </w:pPr>
      <w:rPr>
        <w:rFonts w:ascii="Symbol" w:hAnsi="Symbol" w:hint="default"/>
        <w:color w:val="auto"/>
      </w:rPr>
    </w:lvl>
    <w:lvl w:ilvl="1" w:tplc="0C0A0003">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764D3E6C"/>
    <w:multiLevelType w:val="hybridMultilevel"/>
    <w:tmpl w:val="CE52D09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696B"/>
    <w:rsid w:val="000241CF"/>
    <w:rsid w:val="000E59CD"/>
    <w:rsid w:val="00456761"/>
    <w:rsid w:val="005677D9"/>
    <w:rsid w:val="00AB4875"/>
    <w:rsid w:val="00AC4B6F"/>
    <w:rsid w:val="00B1696B"/>
    <w:rsid w:val="00BE3AD0"/>
    <w:rsid w:val="00E62CC9"/>
    <w:rsid w:val="00EE267A"/>
    <w:rsid w:val="00FB58B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696B"/>
    <w:rPr>
      <w:rFonts w:ascii="Times New Roman" w:eastAsia="Times New Roman" w:hAnsi="Times New Roman" w:cs="Times New Roman"/>
      <w:sz w:val="24"/>
      <w:szCs w:val="24"/>
      <w:lang w:eastAsia="es-ES"/>
    </w:rPr>
  </w:style>
  <w:style w:type="paragraph" w:styleId="Ttulo1">
    <w:name w:val="heading 1"/>
    <w:basedOn w:val="Normal"/>
    <w:next w:val="Normal"/>
    <w:link w:val="Ttulo1Car"/>
    <w:autoRedefine/>
    <w:uiPriority w:val="9"/>
    <w:qFormat/>
    <w:rsid w:val="00B1696B"/>
    <w:pPr>
      <w:keepNext/>
      <w:keepLines/>
      <w:spacing w:line="360" w:lineRule="auto"/>
      <w:jc w:val="both"/>
      <w:outlineLvl w:val="0"/>
    </w:pPr>
    <w:rPr>
      <w:bCs/>
      <w:sz w:val="22"/>
      <w:szCs w:val="22"/>
      <w:u w:val="single"/>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1696B"/>
    <w:rPr>
      <w:rFonts w:ascii="Times New Roman" w:eastAsia="Times New Roman" w:hAnsi="Times New Roman" w:cs="Times New Roman"/>
      <w:bCs/>
      <w:u w:val="single"/>
    </w:rPr>
  </w:style>
  <w:style w:type="paragraph" w:styleId="Prrafodelista">
    <w:name w:val="List Paragraph"/>
    <w:basedOn w:val="Normal"/>
    <w:uiPriority w:val="34"/>
    <w:qFormat/>
    <w:rsid w:val="00B1696B"/>
    <w:pPr>
      <w:spacing w:after="200" w:line="276" w:lineRule="auto"/>
      <w:ind w:left="720"/>
      <w:contextualSpacing/>
      <w:jc w:val="both"/>
    </w:pPr>
    <w:rPr>
      <w:rFonts w:ascii="Gill Sans MT" w:eastAsia="Gill Sans MT" w:hAnsi="Gill Sans MT"/>
      <w:sz w:val="22"/>
      <w:szCs w:val="22"/>
      <w:lang w:eastAsia="en-US"/>
    </w:rPr>
  </w:style>
  <w:style w:type="paragraph" w:customStyle="1" w:styleId="CabeceraTablayGrfico">
    <w:name w:val="Cabecera Tabla y Gráfico"/>
    <w:basedOn w:val="Normal"/>
    <w:link w:val="CabeceraTablayGrficoCar"/>
    <w:qFormat/>
    <w:rsid w:val="00B1696B"/>
    <w:pPr>
      <w:spacing w:before="120"/>
      <w:jc w:val="both"/>
    </w:pPr>
    <w:rPr>
      <w:rFonts w:ascii="Gill Sans MT" w:hAnsi="Gill Sans MT"/>
      <w:sz w:val="20"/>
      <w:szCs w:val="22"/>
      <w:lang w:eastAsia="en-US"/>
    </w:rPr>
  </w:style>
  <w:style w:type="character" w:customStyle="1" w:styleId="CabeceraTablayGrficoCar">
    <w:name w:val="Cabecera Tabla y Gráfico Car"/>
    <w:basedOn w:val="Fuentedeprrafopredeter"/>
    <w:link w:val="CabeceraTablayGrfico"/>
    <w:locked/>
    <w:rsid w:val="00B1696B"/>
    <w:rPr>
      <w:rFonts w:ascii="Gill Sans MT" w:eastAsia="Times New Roman" w:hAnsi="Gill Sans MT" w:cs="Times New Roman"/>
      <w:sz w:val="20"/>
    </w:rPr>
  </w:style>
  <w:style w:type="paragraph" w:customStyle="1" w:styleId="Notaalpie">
    <w:name w:val="Nota al pie"/>
    <w:basedOn w:val="Textonotapie"/>
    <w:link w:val="NotaalpieCar"/>
    <w:qFormat/>
    <w:rsid w:val="00B1696B"/>
    <w:pPr>
      <w:jc w:val="both"/>
    </w:pPr>
    <w:rPr>
      <w:rFonts w:ascii="Gill Sans MT" w:hAnsi="Gill Sans MT"/>
      <w:sz w:val="18"/>
    </w:rPr>
  </w:style>
  <w:style w:type="character" w:customStyle="1" w:styleId="NotaalpieCar">
    <w:name w:val="Nota al pie Car"/>
    <w:basedOn w:val="TextonotapieCar"/>
    <w:link w:val="Notaalpie"/>
    <w:locked/>
    <w:rsid w:val="00B1696B"/>
    <w:rPr>
      <w:rFonts w:ascii="Gill Sans MT" w:eastAsia="Times New Roman" w:hAnsi="Gill Sans MT" w:cs="Times New Roman"/>
      <w:sz w:val="18"/>
      <w:szCs w:val="20"/>
      <w:lang w:eastAsia="es-ES"/>
    </w:rPr>
  </w:style>
  <w:style w:type="paragraph" w:styleId="Textonotapie">
    <w:name w:val="footnote text"/>
    <w:basedOn w:val="Normal"/>
    <w:link w:val="TextonotapieCar"/>
    <w:uiPriority w:val="99"/>
    <w:semiHidden/>
    <w:unhideWhenUsed/>
    <w:rsid w:val="00B1696B"/>
    <w:rPr>
      <w:sz w:val="20"/>
      <w:szCs w:val="20"/>
    </w:rPr>
  </w:style>
  <w:style w:type="character" w:customStyle="1" w:styleId="TextonotapieCar">
    <w:name w:val="Texto nota pie Car"/>
    <w:basedOn w:val="Fuentedeprrafopredeter"/>
    <w:link w:val="Textonotapie"/>
    <w:uiPriority w:val="99"/>
    <w:semiHidden/>
    <w:rsid w:val="00B1696B"/>
    <w:rPr>
      <w:rFonts w:ascii="Times New Roman" w:eastAsia="Times New Roman" w:hAnsi="Times New Roman" w:cs="Times New Roman"/>
      <w:sz w:val="20"/>
      <w:szCs w:val="20"/>
      <w:lang w:eastAsia="es-ES"/>
    </w:rPr>
  </w:style>
  <w:style w:type="paragraph" w:customStyle="1" w:styleId="CM6">
    <w:name w:val="CM6"/>
    <w:basedOn w:val="Normal"/>
    <w:next w:val="Normal"/>
    <w:rsid w:val="00B1696B"/>
    <w:pPr>
      <w:widowControl w:val="0"/>
      <w:autoSpaceDE w:val="0"/>
      <w:autoSpaceDN w:val="0"/>
      <w:adjustRightInd w:val="0"/>
      <w:spacing w:after="500"/>
    </w:pPr>
    <w:rPr>
      <w:rFonts w:ascii="Arial" w:hAnsi="Arial"/>
    </w:rPr>
  </w:style>
  <w:style w:type="paragraph" w:styleId="Textodeglobo">
    <w:name w:val="Balloon Text"/>
    <w:basedOn w:val="Normal"/>
    <w:link w:val="TextodegloboCar"/>
    <w:uiPriority w:val="99"/>
    <w:semiHidden/>
    <w:unhideWhenUsed/>
    <w:rsid w:val="00B1696B"/>
    <w:rPr>
      <w:rFonts w:ascii="Tahoma" w:hAnsi="Tahoma" w:cs="Tahoma"/>
      <w:sz w:val="16"/>
      <w:szCs w:val="16"/>
    </w:rPr>
  </w:style>
  <w:style w:type="character" w:customStyle="1" w:styleId="TextodegloboCar">
    <w:name w:val="Texto de globo Car"/>
    <w:basedOn w:val="Fuentedeprrafopredeter"/>
    <w:link w:val="Textodeglobo"/>
    <w:uiPriority w:val="99"/>
    <w:semiHidden/>
    <w:rsid w:val="00B1696B"/>
    <w:rPr>
      <w:rFonts w:ascii="Tahoma" w:eastAsia="Times New Roman" w:hAnsi="Tahoma" w:cs="Tahoma"/>
      <w:sz w:val="16"/>
      <w:szCs w:val="16"/>
      <w:lang w:eastAsia="es-ES"/>
    </w:rPr>
  </w:style>
  <w:style w:type="paragraph" w:styleId="Encabezado">
    <w:name w:val="header"/>
    <w:basedOn w:val="Normal"/>
    <w:link w:val="EncabezadoCar"/>
    <w:uiPriority w:val="99"/>
    <w:unhideWhenUsed/>
    <w:rsid w:val="00E62CC9"/>
    <w:pPr>
      <w:tabs>
        <w:tab w:val="center" w:pos="4252"/>
        <w:tab w:val="right" w:pos="8504"/>
      </w:tabs>
    </w:pPr>
  </w:style>
  <w:style w:type="character" w:customStyle="1" w:styleId="EncabezadoCar">
    <w:name w:val="Encabezado Car"/>
    <w:basedOn w:val="Fuentedeprrafopredeter"/>
    <w:link w:val="Encabezado"/>
    <w:uiPriority w:val="99"/>
    <w:rsid w:val="00E62CC9"/>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E62CC9"/>
    <w:pPr>
      <w:tabs>
        <w:tab w:val="center" w:pos="4252"/>
        <w:tab w:val="right" w:pos="8504"/>
      </w:tabs>
    </w:pPr>
  </w:style>
  <w:style w:type="character" w:customStyle="1" w:styleId="PiedepginaCar">
    <w:name w:val="Pie de página Car"/>
    <w:basedOn w:val="Fuentedeprrafopredeter"/>
    <w:link w:val="Piedepgina"/>
    <w:uiPriority w:val="99"/>
    <w:rsid w:val="00E62CC9"/>
    <w:rPr>
      <w:rFonts w:ascii="Times New Roman" w:eastAsia="Times New Roman" w:hAnsi="Times New Roman" w:cs="Times New Roman"/>
      <w:sz w:val="24"/>
      <w:szCs w:val="24"/>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696B"/>
    <w:rPr>
      <w:rFonts w:ascii="Times New Roman" w:eastAsia="Times New Roman" w:hAnsi="Times New Roman" w:cs="Times New Roman"/>
      <w:sz w:val="24"/>
      <w:szCs w:val="24"/>
      <w:lang w:eastAsia="es-ES"/>
    </w:rPr>
  </w:style>
  <w:style w:type="paragraph" w:styleId="Ttulo1">
    <w:name w:val="heading 1"/>
    <w:basedOn w:val="Normal"/>
    <w:next w:val="Normal"/>
    <w:link w:val="Ttulo1Car"/>
    <w:autoRedefine/>
    <w:uiPriority w:val="9"/>
    <w:qFormat/>
    <w:rsid w:val="00B1696B"/>
    <w:pPr>
      <w:keepNext/>
      <w:keepLines/>
      <w:spacing w:line="360" w:lineRule="auto"/>
      <w:jc w:val="both"/>
      <w:outlineLvl w:val="0"/>
    </w:pPr>
    <w:rPr>
      <w:bCs/>
      <w:sz w:val="22"/>
      <w:szCs w:val="22"/>
      <w:u w:val="single"/>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1696B"/>
    <w:rPr>
      <w:rFonts w:ascii="Times New Roman" w:eastAsia="Times New Roman" w:hAnsi="Times New Roman" w:cs="Times New Roman"/>
      <w:bCs/>
      <w:u w:val="single"/>
    </w:rPr>
  </w:style>
  <w:style w:type="paragraph" w:styleId="Prrafodelista">
    <w:name w:val="List Paragraph"/>
    <w:basedOn w:val="Normal"/>
    <w:uiPriority w:val="34"/>
    <w:qFormat/>
    <w:rsid w:val="00B1696B"/>
    <w:pPr>
      <w:spacing w:after="200" w:line="276" w:lineRule="auto"/>
      <w:ind w:left="720"/>
      <w:contextualSpacing/>
      <w:jc w:val="both"/>
    </w:pPr>
    <w:rPr>
      <w:rFonts w:ascii="Gill Sans MT" w:eastAsia="Gill Sans MT" w:hAnsi="Gill Sans MT"/>
      <w:sz w:val="22"/>
      <w:szCs w:val="22"/>
      <w:lang w:eastAsia="en-US"/>
    </w:rPr>
  </w:style>
  <w:style w:type="paragraph" w:customStyle="1" w:styleId="CabeceraTablayGrfico">
    <w:name w:val="Cabecera Tabla y Gráfico"/>
    <w:basedOn w:val="Normal"/>
    <w:link w:val="CabeceraTablayGrficoCar"/>
    <w:qFormat/>
    <w:rsid w:val="00B1696B"/>
    <w:pPr>
      <w:spacing w:before="120"/>
      <w:jc w:val="both"/>
    </w:pPr>
    <w:rPr>
      <w:rFonts w:ascii="Gill Sans MT" w:hAnsi="Gill Sans MT"/>
      <w:sz w:val="20"/>
      <w:szCs w:val="22"/>
      <w:lang w:eastAsia="en-US"/>
    </w:rPr>
  </w:style>
  <w:style w:type="character" w:customStyle="1" w:styleId="CabeceraTablayGrficoCar">
    <w:name w:val="Cabecera Tabla y Gráfico Car"/>
    <w:basedOn w:val="Fuentedeprrafopredeter"/>
    <w:link w:val="CabeceraTablayGrfico"/>
    <w:locked/>
    <w:rsid w:val="00B1696B"/>
    <w:rPr>
      <w:rFonts w:ascii="Gill Sans MT" w:eastAsia="Times New Roman" w:hAnsi="Gill Sans MT" w:cs="Times New Roman"/>
      <w:sz w:val="20"/>
    </w:rPr>
  </w:style>
  <w:style w:type="paragraph" w:customStyle="1" w:styleId="Notaalpie">
    <w:name w:val="Nota al pie"/>
    <w:basedOn w:val="Textonotapie"/>
    <w:link w:val="NotaalpieCar"/>
    <w:qFormat/>
    <w:rsid w:val="00B1696B"/>
    <w:pPr>
      <w:jc w:val="both"/>
    </w:pPr>
    <w:rPr>
      <w:rFonts w:ascii="Gill Sans MT" w:hAnsi="Gill Sans MT"/>
      <w:sz w:val="18"/>
    </w:rPr>
  </w:style>
  <w:style w:type="character" w:customStyle="1" w:styleId="NotaalpieCar">
    <w:name w:val="Nota al pie Car"/>
    <w:basedOn w:val="TextonotapieCar"/>
    <w:link w:val="Notaalpie"/>
    <w:locked/>
    <w:rsid w:val="00B1696B"/>
    <w:rPr>
      <w:rFonts w:ascii="Gill Sans MT" w:eastAsia="Times New Roman" w:hAnsi="Gill Sans MT" w:cs="Times New Roman"/>
      <w:sz w:val="18"/>
      <w:szCs w:val="20"/>
      <w:lang w:eastAsia="es-ES"/>
    </w:rPr>
  </w:style>
  <w:style w:type="paragraph" w:styleId="Textonotapie">
    <w:name w:val="footnote text"/>
    <w:basedOn w:val="Normal"/>
    <w:link w:val="TextonotapieCar"/>
    <w:uiPriority w:val="99"/>
    <w:semiHidden/>
    <w:unhideWhenUsed/>
    <w:rsid w:val="00B1696B"/>
    <w:rPr>
      <w:sz w:val="20"/>
      <w:szCs w:val="20"/>
    </w:rPr>
  </w:style>
  <w:style w:type="character" w:customStyle="1" w:styleId="TextonotapieCar">
    <w:name w:val="Texto nota pie Car"/>
    <w:basedOn w:val="Fuentedeprrafopredeter"/>
    <w:link w:val="Textonotapie"/>
    <w:uiPriority w:val="99"/>
    <w:semiHidden/>
    <w:rsid w:val="00B1696B"/>
    <w:rPr>
      <w:rFonts w:ascii="Times New Roman" w:eastAsia="Times New Roman" w:hAnsi="Times New Roman" w:cs="Times New Roman"/>
      <w:sz w:val="20"/>
      <w:szCs w:val="20"/>
      <w:lang w:eastAsia="es-ES"/>
    </w:rPr>
  </w:style>
  <w:style w:type="paragraph" w:customStyle="1" w:styleId="CM6">
    <w:name w:val="CM6"/>
    <w:basedOn w:val="Normal"/>
    <w:next w:val="Normal"/>
    <w:rsid w:val="00B1696B"/>
    <w:pPr>
      <w:widowControl w:val="0"/>
      <w:autoSpaceDE w:val="0"/>
      <w:autoSpaceDN w:val="0"/>
      <w:adjustRightInd w:val="0"/>
      <w:spacing w:after="500"/>
    </w:pPr>
    <w:rPr>
      <w:rFonts w:ascii="Arial" w:hAnsi="Arial"/>
    </w:rPr>
  </w:style>
  <w:style w:type="paragraph" w:styleId="Textodeglobo">
    <w:name w:val="Balloon Text"/>
    <w:basedOn w:val="Normal"/>
    <w:link w:val="TextodegloboCar"/>
    <w:uiPriority w:val="99"/>
    <w:semiHidden/>
    <w:unhideWhenUsed/>
    <w:rsid w:val="00B1696B"/>
    <w:rPr>
      <w:rFonts w:ascii="Tahoma" w:hAnsi="Tahoma" w:cs="Tahoma"/>
      <w:sz w:val="16"/>
      <w:szCs w:val="16"/>
    </w:rPr>
  </w:style>
  <w:style w:type="character" w:customStyle="1" w:styleId="TextodegloboCar">
    <w:name w:val="Texto de globo Car"/>
    <w:basedOn w:val="Fuentedeprrafopredeter"/>
    <w:link w:val="Textodeglobo"/>
    <w:uiPriority w:val="99"/>
    <w:semiHidden/>
    <w:rsid w:val="00B1696B"/>
    <w:rPr>
      <w:rFonts w:ascii="Tahoma" w:eastAsia="Times New Roman" w:hAnsi="Tahoma" w:cs="Tahoma"/>
      <w:sz w:val="16"/>
      <w:szCs w:val="16"/>
      <w:lang w:eastAsia="es-ES"/>
    </w:rPr>
  </w:style>
  <w:style w:type="paragraph" w:styleId="Encabezado">
    <w:name w:val="header"/>
    <w:basedOn w:val="Normal"/>
    <w:link w:val="EncabezadoCar"/>
    <w:uiPriority w:val="99"/>
    <w:unhideWhenUsed/>
    <w:rsid w:val="00E62CC9"/>
    <w:pPr>
      <w:tabs>
        <w:tab w:val="center" w:pos="4252"/>
        <w:tab w:val="right" w:pos="8504"/>
      </w:tabs>
    </w:pPr>
  </w:style>
  <w:style w:type="character" w:customStyle="1" w:styleId="EncabezadoCar">
    <w:name w:val="Encabezado Car"/>
    <w:basedOn w:val="Fuentedeprrafopredeter"/>
    <w:link w:val="Encabezado"/>
    <w:uiPriority w:val="99"/>
    <w:rsid w:val="00E62CC9"/>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E62CC9"/>
    <w:pPr>
      <w:tabs>
        <w:tab w:val="center" w:pos="4252"/>
        <w:tab w:val="right" w:pos="8504"/>
      </w:tabs>
    </w:pPr>
  </w:style>
  <w:style w:type="character" w:customStyle="1" w:styleId="PiedepginaCar">
    <w:name w:val="Pie de página Car"/>
    <w:basedOn w:val="Fuentedeprrafopredeter"/>
    <w:link w:val="Piedepgina"/>
    <w:uiPriority w:val="99"/>
    <w:rsid w:val="00E62CC9"/>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8</Pages>
  <Words>1685</Words>
  <Characters>9272</Characters>
  <Application>Microsoft Office Word</Application>
  <DocSecurity>0</DocSecurity>
  <Lines>77</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Alicia Torijano</dc:creator>
  <cp:lastModifiedBy>Alicia Torijano</cp:lastModifiedBy>
  <cp:revision>6</cp:revision>
  <cp:lastPrinted>2017-02-17T06:37:00Z</cp:lastPrinted>
  <dcterms:created xsi:type="dcterms:W3CDTF">2017-02-16T11:52:00Z</dcterms:created>
  <dcterms:modified xsi:type="dcterms:W3CDTF">2017-02-17T06:47:00Z</dcterms:modified>
</cp:coreProperties>
</file>